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cs="Calibri" w:cstheme="minorHAnsi"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  <w:t>Załącznik nr 3 do zapytania</w:t>
      </w:r>
    </w:p>
    <w:p>
      <w:pPr>
        <w:pStyle w:val="Normal"/>
        <w:spacing w:before="0" w:after="0"/>
        <w:jc w:val="center"/>
        <w:rPr>
          <w:rFonts w:cs="Calibri" w:cstheme="minorHAnsi"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  <w:t>P</w:t>
      </w:r>
      <w:r>
        <w:rPr>
          <w:rFonts w:cs="Calibri" w:cstheme="minorHAnsi"/>
          <w:b/>
          <w:bCs/>
          <w:sz w:val="21"/>
          <w:szCs w:val="21"/>
          <w:lang w:eastAsia="zh-CN"/>
        </w:rPr>
        <w:t>rojekt umowy</w:t>
      </w:r>
    </w:p>
    <w:p>
      <w:pPr>
        <w:pStyle w:val="Normal"/>
        <w:spacing w:before="0" w:after="0"/>
        <w:jc w:val="center"/>
        <w:rPr>
          <w:rFonts w:cs="Calibri" w:cstheme="minorHAnsi"/>
          <w:sz w:val="21"/>
          <w:szCs w:val="21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Umowa nr …….</w:t>
      </w:r>
    </w:p>
    <w:p>
      <w:pPr>
        <w:pStyle w:val="Normal"/>
        <w:widowControl w:val="false"/>
        <w:suppressAutoHyphens w:val="true"/>
        <w:spacing w:lineRule="auto" w:line="240" w:before="0" w:after="12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Zawarta w dniu ……………. r. w Chełmnie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lub 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zawarta w postaci elektronicznej opatrzonej kwalifikowanym podpisem elektronicznym (zapis zostanie dostosowany od formy zawartej umowy)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pomiędzy: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Zespołem Opieki Zdrowotnej w Chełmnie, Pl. Rydygiera 1, 86-200 Chełmno, zarejestrowanym w Sądzie Rejonowym w Toruniu - VII Wydział Gospodarczy Krajowego Rejestru Sądowego pod </w:t>
        <w:tab/>
        <w:t xml:space="preserve">numerem </w:t>
        <w:tab/>
        <w:t xml:space="preserve">KRS 0000035765, zwanym w dalszej treści umowy ZAMAWIAJĄCYM, reprezentowanym przez : 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1.  Marzannę Ossowską – Dyrektora ZOZ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a </w:t>
      </w:r>
    </w:p>
    <w:p>
      <w:pPr>
        <w:pStyle w:val="Normal"/>
        <w:widowControl w:val="false"/>
        <w:suppressAutoHyphens w:val="true"/>
        <w:spacing w:lineRule="auto" w:line="240" w:before="0" w:after="12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………</w:t>
      </w: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...z siedzibą w: ……………., zarejestrowaną w ……….., zwaną w dalszej treści umowy </w:t>
        <w:tab/>
        <w:t>WYKONAWCĄ,  reprezentowaną przez:</w:t>
      </w:r>
    </w:p>
    <w:p>
      <w:pPr>
        <w:pStyle w:val="Standard"/>
        <w:spacing w:lineRule="auto" w:line="276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Times New Roman" w:cs="Calibri" w:ascii="Calibri" w:hAnsi="Calibri" w:asciiTheme="minorHAnsi" w:cstheme="minorHAnsi" w:hAnsiTheme="minorHAnsi"/>
          <w:sz w:val="21"/>
          <w:szCs w:val="21"/>
          <w:lang w:val="pl-PL" w:eastAsia="ar-SA"/>
        </w:rPr>
        <w:t>1. ........................................................... – ...........................................................</w:t>
      </w:r>
    </w:p>
    <w:p>
      <w:pPr>
        <w:pStyle w:val="Standard"/>
        <w:spacing w:lineRule="auto" w:line="276"/>
        <w:ind w:firstLine="709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1"/>
          <w:szCs w:val="21"/>
          <w:lang w:val="pl-PL" w:eastAsia="ar-SA"/>
        </w:rPr>
        <w:t>(imię i nazwisko)</w:t>
        <w:tab/>
        <w:tab/>
        <w:tab/>
        <w:tab/>
        <w:tab/>
        <w:t>(stanowisko)</w:t>
      </w:r>
    </w:p>
    <w:p>
      <w:pPr>
        <w:pStyle w:val="Standard"/>
        <w:spacing w:lineRule="auto" w:line="276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Times New Roman" w:cs="Calibri" w:ascii="Calibri" w:hAnsi="Calibri" w:asciiTheme="minorHAnsi" w:cstheme="minorHAnsi" w:hAnsiTheme="minorHAnsi"/>
          <w:sz w:val="21"/>
          <w:szCs w:val="21"/>
          <w:lang w:val="pl-PL" w:eastAsia="ar-SA"/>
        </w:rPr>
        <w:t>2. ........................................................... – .........................................................</w:t>
      </w:r>
    </w:p>
    <w:p>
      <w:pPr>
        <w:pStyle w:val="Standard"/>
        <w:spacing w:lineRule="auto" w:line="276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1"/>
          <w:szCs w:val="21"/>
          <w:lang w:val="pl-PL" w:eastAsia="ar-SA"/>
        </w:rPr>
        <w:tab/>
        <w:t>(imię i nazwisko)</w:t>
        <w:tab/>
        <w:tab/>
        <w:tab/>
        <w:tab/>
        <w:tab/>
        <w:t>(stanowisko)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 xml:space="preserve">Na podstawie Regulaminu udzielania zamówień publicznych w ZOZ w Chełmnie, których wartość jest mniejsza niż 130 000 zł netto, w wyniku rozstrzygniętego postępowania </w:t>
      </w:r>
      <w:r>
        <w:rPr>
          <w:rFonts w:eastAsia="Arial Unicode MS" w:cs="Calibri" w:cstheme="minorHAnsi"/>
          <w:sz w:val="21"/>
          <w:szCs w:val="21"/>
          <w:shd w:fill="auto" w:val="clear"/>
          <w:lang w:eastAsia="zh-CN"/>
          <w14:ligatures w14:val="none"/>
        </w:rPr>
        <w:t xml:space="preserve">na 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>„Sukcesywn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>ą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 xml:space="preserve"> dostaw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>ę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 xml:space="preserve"> sprzętu sprzątającego – artykułów gospodarstwa domowego  do ZOZ w Chełmnie” nr post. 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kern w:val="2"/>
          <w:sz w:val="21"/>
          <w:szCs w:val="21"/>
          <w:shd w:fill="auto" w:val="clear"/>
          <w:lang w:val="pl-PL" w:eastAsia="zh-CN" w:bidi="ar-SA"/>
          <w14:ligatures w14:val="none"/>
        </w:rPr>
        <w:t>59</w:t>
      </w:r>
      <w:r>
        <w:rPr>
          <w:rStyle w:val="Wyrnienie"/>
          <w:rFonts w:eastAsia="Arial" w:cs="Calibri" w:ascii="Calibri" w:hAnsi="Calibri" w:cstheme="minorHAnsi"/>
          <w:b/>
          <w:bCs/>
          <w:i w:val="false"/>
          <w:iCs w:val="false"/>
          <w:color w:val="000000"/>
          <w:sz w:val="21"/>
          <w:szCs w:val="21"/>
          <w:shd w:fill="auto" w:val="clear"/>
          <w:lang w:val="pl-PL" w:eastAsia="zh-CN"/>
          <w14:ligatures w14:val="none"/>
        </w:rPr>
        <w:t>/2024</w:t>
      </w:r>
      <w:r>
        <w:rPr>
          <w:rFonts w:eastAsia="Arial Unicode MS" w:cs="Calibri" w:cstheme="minorHAnsi"/>
          <w:sz w:val="21"/>
          <w:szCs w:val="21"/>
          <w:shd w:fill="auto" w:val="clear"/>
          <w:lang w:eastAsia="zh-CN"/>
          <w14:ligatures w14:val="none"/>
        </w:rPr>
        <w:t>, zostaje zawarta umowa o następującej treści: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Arial Unicode MS" w:cs="Calibri" w:cstheme="minorHAnsi"/>
          <w:sz w:val="21"/>
          <w:szCs w:val="21"/>
          <w:shd w:fill="auto" w:val="clear"/>
          <w:lang w:eastAsia="zh-CN"/>
          <w14:ligatures w14:val="none"/>
        </w:rPr>
      </w:pPr>
      <w:r>
        <w:rPr>
          <w:rFonts w:eastAsia="Arial Unicode MS" w:cs="Calibri" w:cstheme="minorHAnsi"/>
          <w:sz w:val="21"/>
          <w:szCs w:val="21"/>
          <w:shd w:fill="auto" w:val="clear"/>
          <w:lang w:eastAsia="zh-CN"/>
          <w14:ligatures w14:val="none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-15" w:hanging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1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Szczegółowy rodzaj oraz asortyment przedmiotu zamówienia i cena brutto określone zostały w ofercie Wykonawcy (formularz asortymentowo - cenowy) - załącznik nr 1 do Umowy, stanowiący integralną jej cześć.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Strony ustalają, że ceny jednostkowe wyszczególnione w załączniku  nr 1 do Umowy są stałe przez okres 24 miesięcy, zastrzeżeniem wyjątków przewidzianych w Umowie.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ind w:left="720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Wartość niniejszej umowy określa się na: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wartość netto ………………….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wartość brutto ………………. 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Wynagrodzenie o którym mowa powyżej obejmuje wszelkie koszty związane z zakupem przedmiotu umowy (w szczególności: wynagrodzenie za przedmiot Umowy, wynagrodzenie związane z opakowaniem, czynnościami dotyczącymi przygotowania: dostawy, transportu, rozładunku w miejscu wskazanym przez Zamawiającego, ubezpieczenia przedmiotu umowy do chwili odbioru towaru przez Zamawiającego, koszty przesyłki, koszty związane z wszelkimi należnościami publiczno-prawnymi tj. opłatami celnymi, skarbowymi lub innymi opłatami pośrednimi, itp.).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>Zamawiający dopuszcza przesunięcia ilościowe pomiędzy poszczególnymi pozycjami w ramach zadania przy zachowaniu nie zmienionej wartości maksymalnego wynagrodzenia określonego w Umowie.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Ilość asortymentu podana jest szacunkowo i może ulec zmianie w ramach wartości Umowy, w zależności od potrzeb Zamawiającego, jednak niewykorzystanie wartości umowy nie może przekroczyć 50% wartości umowy brutto. Wykonawca nie będzie wnosił roszczeń w stosunku do Zamawiającego w przypadku nie wyczerpania przez okres związania Umową asortymentu oraz wartości umowy brutto, z uwzględnieniem powyższego limitu 50%.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9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oświadcza, że stanowiący przedmiot Umowy towar będzie zgodny z właściwymi normami i przepisami prawa, na co Wykonawca będzie posiadał przez cały okres obowiązywania Umowy wszystkie aktualne dokumenty, a do przedstawienia których w terminie 5 dni będzie zobowiązany na pisemne żądanie Zamawiającego.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Dostawy następować będą sukcesywnie, w asortymencie i ilości zgodnie z zamówieniami częściowymi Zamawiającego w terminie 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do 5 dni roboczych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 od dnia złożenia zamówienia. Za dni robocze przyjmuje się – dni od poniedziałku do piątku z wyłączeniem dni ustawowo wolnych od pracy. Zamówienia będą przesłane faxem lub e-mailem.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Wykonawca zobowiązuje się dostarczyć towar transportem własnym lub za pośrednictwem profesjonalnej firmy kurierskiej, lub innego podmiotu świadczącego usługi </w:t>
      </w: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>transportowe/kurierskie na swój koszt do siedziby Zamawiającego.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>Osobą odpowiedzialną za realizację zamówienia ze strony Wykonawcy jest</w:t>
      </w:r>
      <w:r>
        <w:rPr>
          <w:rFonts w:eastAsia="Arial Unicode MS" w:cs="Calibri" w:cstheme="minorHAnsi"/>
          <w:sz w:val="21"/>
          <w:szCs w:val="21"/>
          <w:lang w:eastAsia="zh-CN"/>
          <w14:ligatures w14:val="none"/>
        </w:rPr>
        <w:t>: ……………………….., tel:  ……………….., e-mail: …………………………………...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Osoba/by   odpowiedzialna/e  za  realizację  zamówienia  oraz nadzór nad  prawidłową realizacją umowy ze  strony  Zamawiającego: Krzysztof Pyła, tel.: 56 677 26 26, e-mail: </w:t>
      </w:r>
      <w:hyperlink r:id="rId2">
        <w:r>
          <w:rPr>
            <w:rFonts w:eastAsia="Arial" w:cs="Calibri" w:cstheme="minorHAnsi"/>
            <w:color w:val="000080"/>
            <w:sz w:val="21"/>
            <w:szCs w:val="21"/>
            <w:u w:val="single"/>
            <w:lang w:eastAsia="zh-CN"/>
            <w14:ligatures w14:val="none"/>
          </w:rPr>
          <w:t>zaopatrzenie@zoz.chelmno.pl</w:t>
        </w:r>
      </w:hyperlink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Zmiana osób oraz nr do kontaktu, o których mowa w ust. 3 i 4 nie powoduje zmiany Umowy. Zmiana następuje poprzez pisemne oświadczenie złożone drugiej Stronie Umowy.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Dostawy </w:t>
      </w:r>
      <w:r>
        <w:rPr>
          <w:rFonts w:eastAsia="Arial" w:cs="Calibri" w:cstheme="minorHAnsi"/>
          <w:sz w:val="21"/>
          <w:szCs w:val="21"/>
          <w:u w:val="single"/>
          <w:lang w:eastAsia="zh-CN"/>
          <w14:ligatures w14:val="none"/>
        </w:rPr>
        <w:t>wraz z rozładunkiem i wniesieniem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 odbywać się będą na ryzyko i koszt Wykonawcy w oparciu o bieżące zamówienia Zamawiającego do siedziby jednostki Zamawiającego (magazynu 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zaopatrzenia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) w dni robocze w godz. 8:00 – 14:00.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ind w:left="705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3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Rozliczenia między Zamawiającym, a Wykonawcą będą następowały po każdym zrealizowanym prawidłowo zleceniu, według cen jednostkowych przedstawionych w ofercie, na podstawie faktycznie zrealizowanych dostaw.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Płatności za dostarczony towar, będą realizowane za każdą należycie wykonaną </w:t>
      </w: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 xml:space="preserve">dostawę w terminie do 30 dni od daty doręczenia Zamawiającemu prawidłowo wystawionej faktury, na rachunek bankowy Wykonawcy, zgodny ze wskazaniem na fakturze.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Jeżeli faktura została doręczona zamawiającemu przed dniem zakończenia należytej realizacji dostawy, termin płatności określony ust. 2 liczony jest od dnia zakończenia należytej realizacji dostawy.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Za dzień zapłaty uznaje się dzień obciążenia rachunku bankowego Zamawiającego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zaleca, aby faktura VAT wystawiona przez Wykonawcę wskazywała numer Umowy, z której wynika płatność.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Dostawca nie może bez zgody Zamawiającego przenieść wierzytelności na osobę trzecią (art. 509 Kodeksu cywilnego).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Zgoda, o której mowa w ust. 6 winna być wyrażona w formie pisemnej pod rygorem nieważności.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Wykonawca powiadomi Zamawiającego o każdorazowej zmianie numeru rachunku bankowego na adres e-mail </w:t>
      </w:r>
      <w:hyperlink r:id="rId3">
        <w:r>
          <w:rPr>
            <w:rFonts w:eastAsia="Arial" w:cs="Calibri" w:cstheme="minorHAnsi"/>
            <w:color w:val="000080"/>
            <w:sz w:val="21"/>
            <w:szCs w:val="21"/>
            <w:u w:val="single"/>
            <w:lang w:eastAsia="zh-CN"/>
            <w14:ligatures w14:val="none"/>
          </w:rPr>
          <w:t>sekretariat@zoz.chemno.pl</w:t>
        </w:r>
      </w:hyperlink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 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6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oświadcza, że numer rachunku bankowego, który wskazany będzie na fakturze w celu dokonania na niego zapłaty przez Zamawiającego, figuruje na wykazie podmiotów („Biała lista”), o którym mowa w art. 96 b ust.1 ustawy z dnia 11 marca 2004 r. o podatku od towarów i usług.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Arial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4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dostarczy towar o wysokim standardzie pod względem norm jakościowych jak i o odpowiednim terminie ważności zapewniającym bezpieczne użycie dostarczonych wyrobów.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Na każdej partii towaru muszą znajdować się etykiety umożliwiające oznaczenie towaru co do tożsamości.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Strony ustalają, że na opakowaniach zbiorczych będą znajdować się następujące informacje: nazwa producenta, adres siedziby, nazwa asortymentu, liczba sztuk znajdujących się w opakowaniu, termin przydatności do użycia - termin ważności w momencie dostawy nie może być krótszy niż 12 miesięcy.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ma prawo do złożenia reklamacji w przypadku stwierdzenia, iż towar jest wadliwy.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ma prawo do złożenia reklamacji w przypadku ujawnienia wad ukrytych towaru.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Reklamacja będzie przesłana faxem bądź e-mailem przez pracownika wyznaczonego przez Zamawiającego.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Towarem wadliwym jest w szczególności towar nie spełniający wymogów określonych w ust. 1, 2 i 3.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11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zobowiązuje się do wymiany towaru wadliwego na towar bez wad w ciągu 5 dni od dnia otrzymania informacji o reklamacji Zamawiającego.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 przypadku dostarczenia towarów nie zamówionych przez Zamawiającego zostaną one zwrócone Wykonawcy na jego koszt.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210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 xml:space="preserve">Strony zgodnie postanawiają, że w przypadku niedostarczenia przez Wykonawcę zamówionego przez Zamawiającego towaru w przewidzianym umową terminie Zamawiającemu przysługuje prawo do nabycia, na koszt Wykonawcy, niedostarczonego towaru lub jego odpowiednika u innego dostawcy (zakup interwencyjny). W przypadku zakupu interwencyjnego: 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59"/>
        <w:contextualSpacing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  <w:t xml:space="preserve">zmniejsza się wartość umowy o wartość tego zakupu, 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  <w:t xml:space="preserve">Wykonawca zobowiązany jest do zwrotu Zamawiającemu różnicy pomiędzy ceną zakupu interwencyjnego i ceną towaru określoną w formularzu asortymentowo-cenowym stanowiącym załącznik nr 1 do umowy. Koszt dostawy wylicza się.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5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Umowa obowiązuje </w:t>
      </w:r>
      <w:r>
        <w:rPr>
          <w:rFonts w:eastAsia="Arial" w:cs="Calibri" w:cstheme="minorHAnsi"/>
          <w:b/>
          <w:bCs/>
          <w:sz w:val="21"/>
          <w:szCs w:val="21"/>
          <w:lang w:eastAsia="zh-CN"/>
          <w14:ligatures w14:val="none"/>
        </w:rPr>
        <w:t>od dnia ……………….. r. do dnia ……………... r. ,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 bądź</w:t>
      </w:r>
      <w:r>
        <w:rPr>
          <w:rFonts w:eastAsia="Arial" w:cs="Calibri" w:cstheme="minorHAnsi"/>
          <w:color w:val="FF0000"/>
          <w:sz w:val="21"/>
          <w:szCs w:val="21"/>
          <w:lang w:eastAsia="zh-CN"/>
          <w14:ligatures w14:val="none"/>
        </w:rPr>
        <w:t xml:space="preserve"> 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wcześniejszego wyczerpania kwoty określonej w § 1 ust. 3, z zastrzeżeniem wyjątków opisanych w Umowie.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 xml:space="preserve">Zamawiający przewiduje zmianę terminu obowiązywania umowy w przypadku niewykorzystania szacowanej wartości brutto przedmiotu Umowy, o której mowa § 1 w terminie jej obowiązywania– w takim przypadku termin wykonania przedmiotu Umowy zostanie przedłużony do czasu wykorzystania limitu wskazanego w § 1 lub wykorzystania Umowy w większym niż zakładanym limicie tj. do max. 100%. Każdorazowo aneks wydłużający Umowę może być zawarty nie dłużej jednak niż o 6 miesięcy. Dowodem potwierdzającym niewykorzystanie szacowanej wartości brutto przedmiotu Umowy może być w szczególności oświadczenie Strony Umowy wraz z wskazaniem kwoty niewykorzystanej we wniosku o zmianę Umowy. Zamawiający przewiduje </w:t>
      </w:r>
      <w:r>
        <w:rPr>
          <w:rFonts w:eastAsia="Calibri" w:cs="Calibri" w:cstheme="minorHAnsi"/>
          <w:color w:val="000000"/>
          <w:sz w:val="21"/>
          <w:szCs w:val="21"/>
          <w14:ligatures w14:val="none"/>
        </w:rPr>
        <w:t xml:space="preserve">możliwość odpowiedniej zmiany wynagrodzenia (cen jednostkowych) w okolicznościach wskazanych w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§ 10.</w:t>
      </w:r>
    </w:p>
    <w:p>
      <w:pPr>
        <w:pStyle w:val="Normal"/>
        <w:widowControl w:val="false"/>
        <w:suppressAutoHyphens w:val="true"/>
        <w:spacing w:lineRule="auto" w:line="240" w:before="0" w:after="0"/>
        <w:ind w:left="15" w:hanging="0"/>
        <w:jc w:val="both"/>
        <w:rPr>
          <w:rFonts w:eastAsia="Arial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6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2685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zastrzega sobie prawo do złożenia oświadczenia o odstąpieniu do Umowy ze skutkiem natychmiastowym jeżeli Wykonawca nie wymieni zakwestionowanego wadliwego towaru w terminie określonym w § 4 ust. 8 umowy.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2631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zastrzega sobie prawo do złożenia oświadczenia o odstąpieniu od Umowy ze skutkiem natychmiastowym jeżeli Wykonawca nie zrealizuje w terminie 3 zamówień złożonych przez Zamawiającego.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2631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>Zamawiający może żądać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2631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 xml:space="preserve">W przypadku, o którym mowa powyżej Wykonawca może żądać wyłącznie wynagrodzenia należnego z tytułu wykonania części umowy do momentu odstąpienia od niej przez Zamawiającego.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7</w:t>
      </w:r>
    </w:p>
    <w:p>
      <w:pPr>
        <w:pStyle w:val="ListParagraph"/>
        <w:widowControl w:val="false"/>
        <w:numPr>
          <w:ilvl w:val="1"/>
          <w:numId w:val="8"/>
        </w:numPr>
        <w:tabs>
          <w:tab w:val="clear" w:pos="708"/>
          <w:tab w:val="left" w:pos="-12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jest zobowiązany do zapłaty na rzecz Zamawiającego kary umownej:</w:t>
      </w:r>
    </w:p>
    <w:p>
      <w:pPr>
        <w:pStyle w:val="ListParagraph"/>
        <w:widowControl w:val="false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 każdorazową zwłokę w realizacji złożonego zamówienia w wysokości 0,5 % wartości brutto złożonego zamówienia, w zakresie której Wykonawca pozostaje w zwłoce, za każdy dzień zwłoki,</w:t>
      </w:r>
    </w:p>
    <w:p>
      <w:pPr>
        <w:pStyle w:val="ListParagraph"/>
        <w:widowControl w:val="false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 tytułu każdorazowej zwłoki w dostarczeniu towaru wolnego od wad – w wysokości 0,2% wartości brutto złożonego zamówienia, w zakresie której Wykonawca pozostaje w zwłoce, za każdy dzień zwłoki,</w:t>
      </w:r>
    </w:p>
    <w:p>
      <w:pPr>
        <w:pStyle w:val="ListParagraph"/>
        <w:widowControl w:val="false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zrealizowania dostawy niezgodnie z zamówieniem pod względem asortymentowym, jakościowym lub ilościowym, w wysokości 0,2 % wartości brutto złożonego zamówienia,</w:t>
      </w:r>
    </w:p>
    <w:p>
      <w:pPr>
        <w:pStyle w:val="ListParagraph"/>
        <w:widowControl w:val="false"/>
        <w:numPr>
          <w:ilvl w:val="0"/>
          <w:numId w:val="9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 rozwiązanie umowy przez którąkolwiek ze Stron, z przyczyn leżących po stronie Wykonawcy, w wysokości 5% wartości niezrealizowanej części Umowy.</w:t>
      </w:r>
    </w:p>
    <w:p>
      <w:pPr>
        <w:pStyle w:val="ListParagraph"/>
        <w:widowControl w:val="false"/>
        <w:numPr>
          <w:ilvl w:val="1"/>
          <w:numId w:val="8"/>
        </w:numPr>
        <w:tabs>
          <w:tab w:val="clear" w:pos="708"/>
          <w:tab w:val="left" w:pos="-12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Wykonawca upoważnia Zamawiającego do potrącania naliczanych kar umownych z przysługującemu Wykonawcy wynagrodzenia.</w:t>
      </w:r>
      <w:r>
        <w:rPr>
          <w:rFonts w:eastAsia="Arial" w:cs="Calibri" w:cstheme="minorHAnsi"/>
          <w:b/>
          <w:bCs/>
          <w:sz w:val="21"/>
          <w:szCs w:val="21"/>
          <w:lang w:eastAsia="zh-CN"/>
          <w14:ligatures w14:val="none"/>
        </w:rPr>
        <w:t xml:space="preserve"> </w:t>
      </w:r>
    </w:p>
    <w:p>
      <w:pPr>
        <w:pStyle w:val="ListParagraph"/>
        <w:widowControl w:val="false"/>
        <w:numPr>
          <w:ilvl w:val="1"/>
          <w:numId w:val="8"/>
        </w:numPr>
        <w:tabs>
          <w:tab w:val="clear" w:pos="708"/>
          <w:tab w:val="left" w:pos="-105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Strony ustalają, że jeżeli kary umowne nie pokryją poniesionej szkody, Zamawiający zastrzega sobie prawo do dochodzenia odszkodowania uzupełniającego na zasadach określonych w Kodeksie Cywilnym do wysokości poniesionej szkody.</w:t>
      </w:r>
    </w:p>
    <w:p>
      <w:pPr>
        <w:pStyle w:val="ListParagraph"/>
        <w:widowControl w:val="false"/>
        <w:numPr>
          <w:ilvl w:val="1"/>
          <w:numId w:val="8"/>
        </w:numPr>
        <w:tabs>
          <w:tab w:val="clear" w:pos="708"/>
          <w:tab w:val="left" w:pos="-105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Łączna maksymalna wysokość kar umownych nie może przekroczyć 20 % ceny brutto określonej w § 1 ust. 3  Umowy.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8</w:t>
      </w:r>
    </w:p>
    <w:p>
      <w:pPr>
        <w:pStyle w:val="Normal"/>
        <w:widowControl w:val="false"/>
        <w:suppressAutoHyphens w:val="true"/>
        <w:spacing w:lineRule="auto" w:line="240" w:before="0" w:after="0"/>
        <w:ind w:left="15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Wszelkie zmiany i uzupełnienia niniejszej umowy wymagają dla swej ważności formy pisemnej pod rygorem nieważności, chyba, że z postanowień umowy wynika inaczej.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 xml:space="preserve">§ </w:t>
      </w:r>
      <w:r>
        <w:rPr>
          <w:rFonts w:eastAsia="Arial" w:cs="Calibri" w:cstheme="minorHAnsi"/>
          <w:color w:val="000000"/>
          <w:sz w:val="21"/>
          <w:szCs w:val="21"/>
          <w:lang w:eastAsia="zh-CN"/>
          <w14:ligatures w14:val="none"/>
        </w:rPr>
        <w:t>9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Umowa może zostać zmieniona w sytuacji wystąpienia okoliczności wskazanych w Umowie lub jeżeli zmiana jest dopuszczalna na podstawie przepisów ustawy Pzp.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Wniosek o zmianę Umowy powinien zawierać co najmniej:</w:t>
      </w:r>
    </w:p>
    <w:p>
      <w:pPr>
        <w:pStyle w:val="ListParagraph"/>
        <w:widowControl w:val="false"/>
        <w:numPr>
          <w:ilvl w:val="0"/>
          <w:numId w:val="11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zakres oraz rodzaj proponowanej zmiany,</w:t>
      </w:r>
    </w:p>
    <w:p>
      <w:pPr>
        <w:pStyle w:val="ListParagraph"/>
        <w:widowControl w:val="false"/>
        <w:numPr>
          <w:ilvl w:val="0"/>
          <w:numId w:val="11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 xml:space="preserve">opis okoliczności faktycznych uprawniających do dokonania zmiany, </w:t>
      </w:r>
    </w:p>
    <w:p>
      <w:pPr>
        <w:pStyle w:val="ListParagraph"/>
        <w:widowControl w:val="false"/>
        <w:numPr>
          <w:ilvl w:val="0"/>
          <w:numId w:val="11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podstawę dokonania zmiany, to jest podstawę prawną,</w:t>
      </w:r>
    </w:p>
    <w:p>
      <w:pPr>
        <w:pStyle w:val="ListParagraph"/>
        <w:widowControl w:val="false"/>
        <w:numPr>
          <w:ilvl w:val="0"/>
          <w:numId w:val="11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informacje i dowody potwierdzające, że zostały spełnione okoliczności uzasadniające dokonanie zmiany Umowy.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Dowodami, o których mowa w ust. 3 lit. d powyżej, są wszelkie dokumenty, które uzasadniają dokonanie proponowanej zmiany, w tym w szczególności: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u w:val="single"/>
          <w14:ligatures w14:val="none"/>
        </w:rPr>
        <w:t>w odniesieniu do zmiany przedmiotu Umowy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, o ile nowe produkty posiadają parametry techniczne nie gorsze od pierwotnie zaoferowanych, a także pod warunkiem zachowania funkcjonalności i pierwotnego przeznaczenia zastępowanego asortymentu: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 potwierdzający wady lub nieścisłości opisu przedmiotu zamówienia,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analiza rynku potwierdzająca brak lub istotne ograniczenie dostępności materiałów, surowców, produktów do wykonania Umowy,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 potwierdzający obiektywne trudności w uzyskaniu materiałów, surowców, produktów niezbędnych do wykonania Umowy, taki jak w szczególności oferty lub korespondencja z podmiotem trzecim (np. dystrybutorem, producentem, dostawcą, usługodawcą),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 potwierdzający wprowadzenie do sprzedaży przez Wykonawcę produktu zmodyfikowanego, udoskonalonego,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zwiększenie szacowanego wolumenu dostawy określonego w Załączniku nr 1 do Umowy w razie jego wcześniejszego zrealizowania, w zakresie niezbędnym do zapewnienia dalszej realizacji Umowy do zakończenia okresu, na jaki zawarto Umowę, jednak nie więcej niż o 4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0% danej pozycji pakietowej,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zmiana polegająca na rezygnacji z realizacji części zamówienia, wynikająca z okoliczności, których zamawiający nie mógł wcześniej przewidzieć, a które powodują, że wykonanie Umowy bez ograniczenia jej zakresu wywołałoby u Zamawiającego niekorzystne skutki z punktu widzenia celu realizacji Umowy lub powodowałoby nieracjonalne wydatkowanie środków publicznych.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u w:val="single"/>
          <w14:ligatures w14:val="none"/>
        </w:rPr>
        <w:t xml:space="preserve">w odniesieniu do zmiany terminu wykonania Umowy lub poszczególnych świadczeń: 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 potwierdzający wystąpienie okoliczności, których Strony nie mogły przewidzieć przed zawarciem Umowy, a które wpływają na termin wykonania Umowy lub poszczególnych świadczeń,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 potwierdzający, że dokonanie zmian przedmiotu Umowy ma wpływ na termin wykonania Umowy lub poszczególnych świadczeń,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>- dokument, o którym mowa w § 5 ust. 2 Umowy.</w:t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:u w:val="single"/>
          <w14:ligatures w14:val="none"/>
        </w:rPr>
        <w:t>w odniesieniu do zmiany wynagrodzenia: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14:ligatures w14:val="none"/>
        </w:rPr>
        <w:t xml:space="preserve">- dokument potwierdzający zmianę kosztu Wykonawcy wynikającą ze zmiany przedmiotu lub terminu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wykonania Umowy (np. oferty dostawców, usługodawców, dystrybutorów lub producentów wyrobu, lub innych podmiotów oferujących świadczenia na rzecz wykonawcy),</w:t>
      </w:r>
    </w:p>
    <w:p>
      <w:pPr>
        <w:pStyle w:val="Normal"/>
        <w:widowControl w:val="false"/>
        <w:suppressAutoHyphens w:val="true"/>
        <w:spacing w:lineRule="auto" w:line="240" w:before="0" w:after="0"/>
        <w:ind w:left="708" w:hanging="0"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>- dokument potwierdzający konieczność uiszczenia dodatkowych danin publicznoprawnych, opłat administracyjnych, sądowych itp., które muszą zostać poniesione przez Wykonawcę w związku ze zmianą Umowy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" w:cs="Calibri" w:cstheme="minorHAnsi"/>
          <w:color w:val="000000"/>
          <w:sz w:val="21"/>
          <w:szCs w:val="21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W przypadku dokonania zmiany na podstawie którejkolwiek z okoliczności wymienionych powyżej w §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9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 cena wskazana w Załączniku nr 1 do Umowy może ulec obniżeniu lub podwyższeniu o kwotę odpowiadającą zmianie udokumentowanych kosztów wykonania zamówienia po zmianie lub proporcjonalnie do zmniejszonego zakresu wykonania zamówienia.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W przypadku złożenia wniosku o zmianę, o którym mowa w ust.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2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 Umowy, druga Strona jest zobowiązana w terminie 14 dni od dnia otrzymania wniosku do ustosunkowania się do niego. Przede wszystkim druga Strona może:</w:t>
      </w:r>
    </w:p>
    <w:p>
      <w:pPr>
        <w:pStyle w:val="ListParagraph"/>
        <w:widowControl w:val="false"/>
        <w:numPr>
          <w:ilvl w:val="0"/>
          <w:numId w:val="13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>zaakceptować wniosek o zmianę poprzez podpisanie aneksu do Umowy,</w:t>
      </w:r>
    </w:p>
    <w:p>
      <w:pPr>
        <w:pStyle w:val="ListParagraph"/>
        <w:widowControl w:val="false"/>
        <w:numPr>
          <w:ilvl w:val="0"/>
          <w:numId w:val="13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wezwać Stronę wnioskującą do uzupełnienia wniosku lub przedstawienia dodatkowych wyjaśnień lub/i dowodów wraz ze stosownym uzasadnieniem takiego wezwania, </w:t>
      </w:r>
    </w:p>
    <w:p>
      <w:pPr>
        <w:pStyle w:val="ListParagraph"/>
        <w:widowControl w:val="false"/>
        <w:numPr>
          <w:ilvl w:val="0"/>
          <w:numId w:val="13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>zaproponować podjęcie negocjacji treści Umowy w zakresie wnioskowanej zmiany,</w:t>
      </w:r>
    </w:p>
    <w:p>
      <w:pPr>
        <w:pStyle w:val="ListParagraph"/>
        <w:widowControl w:val="false"/>
        <w:numPr>
          <w:ilvl w:val="0"/>
          <w:numId w:val="13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>odrzucić wniosek o zmianę. Odrzucenie wniosku o zmianę powinno zawierać uzasadnienie.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W przypadku, o którym mowa w §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9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 ust. 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>5</w:t>
      </w:r>
      <w:r>
        <w:rPr>
          <w:rFonts w:eastAsia="Arial" w:cs="Calibri" w:cstheme="minorHAnsi"/>
          <w:color w:val="000000"/>
          <w:sz w:val="21"/>
          <w:szCs w:val="21"/>
          <w14:ligatures w14:val="none"/>
        </w:rPr>
        <w:t xml:space="preserve"> lit. c z negocjacji treści zmiany Umowy Strony sporządzają notatkę przedstawiającą przebieg spotkania i jego ustalenia.</w:t>
      </w:r>
    </w:p>
    <w:p>
      <w:pPr>
        <w:pStyle w:val="ListParagraph"/>
        <w:widowControl w:val="false"/>
        <w:numPr>
          <w:ilvl w:val="1"/>
          <w:numId w:val="10"/>
        </w:numPr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color w:val="000000"/>
          <w:sz w:val="21"/>
          <w:szCs w:val="21"/>
          <w14:ligatures w14:val="none"/>
        </w:rPr>
        <w:t>W przypadku sporu pomiędzy Stronami co do treści wniosku o zmianę lub zasadności jej dokonania – w szczególności w odniesieniu do wpływu okoliczności będących podstawą do zmiany na realizację Umowy – Strony mogą powołać eksperta lub zespół ekspertów w celu uzyskania niezależnej opinii na temat spornych zagadnień. Ekspert lub zespół ekspertów jest powoływany za zgodą Zamawiającego i Wykonawcy. Koszt opinii eksperta lub zespołu ekspertów ponosi Strona wnioskująca o zmianę, chyba że z treści opinii wynikać będzie jednoznacznie, że stanowisko Strony wnioskującej o zmianę umowy było prawidłowe – w takim przypadku koszty opinii ponosi druga Strona. Koszty związane z opinią eksperta lub zespołu ekspertów nie uprawniają do zmiany wynagrodzenia Umowy.</w:t>
      </w:r>
    </w:p>
    <w:p>
      <w:pPr>
        <w:pStyle w:val="ListParagraph"/>
        <w:widowControl w:val="false"/>
        <w:suppressAutoHyphens w:val="true"/>
        <w:spacing w:lineRule="auto" w:line="240" w:before="0" w:after="0"/>
        <w:ind w:hanging="0"/>
        <w:contextualSpacing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09" w:leader="none"/>
        </w:tabs>
        <w:suppressAutoHyphens w:val="true"/>
        <w:spacing w:lineRule="auto" w:line="240" w:before="0" w:after="0"/>
        <w:contextualSpacing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1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0</w:t>
      </w:r>
    </w:p>
    <w:p>
      <w:pPr>
        <w:pStyle w:val="ListParagraph"/>
        <w:widowControl w:val="false"/>
        <w:numPr>
          <w:ilvl w:val="1"/>
          <w:numId w:val="14"/>
        </w:numPr>
        <w:tabs>
          <w:tab w:val="clear" w:pos="708"/>
          <w:tab w:val="left" w:pos="2805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Zamawiający i Wykonawca podejmą starania w celu polubownego rozstrzygnięcia wszelkich sporów powstałych między nimi a wynikających z umowy lub pozostających w pośrednim bądź bezpośrednim związku z umową, w drodze bezpośredniej negocjacji.</w:t>
      </w:r>
    </w:p>
    <w:p>
      <w:pPr>
        <w:pStyle w:val="ListParagraph"/>
        <w:widowControl w:val="false"/>
        <w:numPr>
          <w:ilvl w:val="1"/>
          <w:numId w:val="14"/>
        </w:numPr>
        <w:tabs>
          <w:tab w:val="clear" w:pos="708"/>
          <w:tab w:val="left" w:pos="600" w:leader="none"/>
          <w:tab w:val="left" w:pos="2130" w:leader="none"/>
        </w:tabs>
        <w:suppressAutoHyphens w:val="true"/>
        <w:spacing w:lineRule="auto" w:line="240" w:before="0" w:after="0"/>
        <w:contextualSpacing/>
        <w:jc w:val="both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 xml:space="preserve">   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Jeżeli po 30 dniach od pisemnego zgłoszenia sporu Zamawiający i Wykonawca nie będą w stanie polubownie rozstrzygnąć sporu, to każda ze stron może poddać spór rozstrzygnięciu  sądu powszechnego właściwego dla Zamawiającego.</w:t>
      </w:r>
    </w:p>
    <w:p>
      <w:pPr>
        <w:pStyle w:val="Normal"/>
        <w:widowControl w:val="false"/>
        <w:tabs>
          <w:tab w:val="clear" w:pos="708"/>
          <w:tab w:val="left" w:pos="2130" w:leader="none"/>
        </w:tabs>
        <w:suppressAutoHyphens w:val="true"/>
        <w:spacing w:lineRule="auto" w:line="240" w:before="0" w:after="0"/>
        <w:jc w:val="both"/>
        <w:rPr>
          <w:rFonts w:eastAsia="Arial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Arial Unicode MS" w:cs="Calibri" w:cstheme="minorHAnsi"/>
          <w:sz w:val="21"/>
          <w:szCs w:val="21"/>
          <w:lang w:eastAsia="zh-CN"/>
          <w14:ligatures w14:val="none"/>
        </w:rPr>
      </w:pP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§ 1</w:t>
      </w:r>
      <w:r>
        <w:rPr>
          <w:rFonts w:eastAsia="Arial" w:cs="Calibri" w:cstheme="minorHAnsi"/>
          <w:sz w:val="21"/>
          <w:szCs w:val="21"/>
          <w:lang w:eastAsia="zh-CN"/>
          <w14:ligatures w14:val="none"/>
        </w:rPr>
        <w:t>1</w:t>
      </w:r>
    </w:p>
    <w:p>
      <w:pPr>
        <w:pStyle w:val="ListParagraph"/>
        <w:numPr>
          <w:ilvl w:val="1"/>
          <w:numId w:val="15"/>
        </w:numPr>
        <w:shd w:val="clear" w:color="auto" w:fill="FFFFFF"/>
        <w:tabs>
          <w:tab w:val="clear" w:pos="708"/>
          <w:tab w:val="left" w:pos="60" w:leader="none"/>
        </w:tabs>
        <w:suppressAutoHyphens w:val="true"/>
        <w:spacing w:lineRule="auto" w:line="240" w:before="0" w:after="0"/>
        <w:contextualSpacing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  <w:t>Do spraw nieuregulowanych niniejszą umową mają zastosowanie przepisy Kodeksu cywilnego.</w:t>
      </w:r>
    </w:p>
    <w:p>
      <w:pPr>
        <w:pStyle w:val="ListParagraph"/>
        <w:numPr>
          <w:ilvl w:val="1"/>
          <w:numId w:val="15"/>
        </w:numPr>
        <w:shd w:val="clear" w:color="auto" w:fill="FFFFFF"/>
        <w:tabs>
          <w:tab w:val="clear" w:pos="708"/>
          <w:tab w:val="left" w:pos="60" w:leader="none"/>
        </w:tabs>
        <w:suppressAutoHyphens w:val="true"/>
        <w:spacing w:lineRule="auto" w:line="240" w:before="0" w:after="0"/>
        <w:contextualSpacing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  <w:t>Spory wynikające z treści niniejszej umowy rozstrzygane będą przez Sąd właściwy dla siedziby  Zamawiającego.</w:t>
      </w:r>
    </w:p>
    <w:p>
      <w:pPr>
        <w:pStyle w:val="ListParagraph"/>
        <w:numPr>
          <w:ilvl w:val="1"/>
          <w:numId w:val="15"/>
        </w:numPr>
        <w:shd w:val="clear" w:color="auto" w:fill="FFFFFF"/>
        <w:tabs>
          <w:tab w:val="clear" w:pos="708"/>
          <w:tab w:val="left" w:pos="60" w:leader="none"/>
        </w:tabs>
        <w:suppressAutoHyphens w:val="true"/>
        <w:spacing w:lineRule="auto" w:line="240" w:before="0" w:after="0"/>
        <w:contextualSpacing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  <w:t>Umowa zostaje zawarta w dwóch jednobrzmiących egzemplarzach po jednym dla każdej ze stron (zapis zostanie usunięty w przypadku zawarcia umowy w postaci elektronicznej).</w:t>
      </w:r>
    </w:p>
    <w:p>
      <w:pPr>
        <w:pStyle w:val="Normal"/>
        <w:shd w:val="clear" w:color="auto" w:fill="FFFFFF"/>
        <w:tabs>
          <w:tab w:val="clear" w:pos="708"/>
          <w:tab w:val="left" w:pos="60" w:leader="none"/>
        </w:tabs>
        <w:suppressAutoHyphens w:val="true"/>
        <w:spacing w:lineRule="auto" w:line="240" w:before="0" w:after="0"/>
        <w:ind w:left="-15" w:hanging="0"/>
        <w:jc w:val="both"/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pPr>
      <w:r>
        <w:rPr>
          <w:rFonts w:eastAsia="Calibri" w:cs="Calibri" w:cstheme="minorHAnsi"/>
          <w:color w:val="000000"/>
          <w:sz w:val="21"/>
          <w:szCs w:val="21"/>
          <w:lang w:eastAsia="zh-CN"/>
          <w14:ligatures w14:val="none"/>
        </w:rPr>
      </w:r>
    </w:p>
    <w:p>
      <w:pPr>
        <w:pStyle w:val="Normal"/>
        <w:shd w:val="clear" w:color="auto" w:fill="FFFFFF"/>
        <w:tabs>
          <w:tab w:val="clear" w:pos="708"/>
          <w:tab w:val="left" w:pos="60" w:leader="none"/>
        </w:tabs>
        <w:suppressAutoHyphens w:val="true"/>
        <w:spacing w:lineRule="auto" w:line="240" w:before="0" w:after="0"/>
        <w:ind w:left="-15" w:hanging="0"/>
        <w:jc w:val="both"/>
        <w:rPr>
          <w:rFonts w:eastAsia="Calibri" w:cs="Calibri" w:cstheme="minorHAnsi"/>
          <w:color w:val="000000"/>
          <w:sz w:val="28"/>
          <w:szCs w:val="28"/>
          <w:lang w:eastAsia="zh-CN"/>
          <w14:ligatures w14:val="none"/>
        </w:rPr>
      </w:pPr>
      <w:r>
        <w:rPr>
          <w:rFonts w:eastAsia="Arial" w:cs="Calibri" w:cstheme="minorHAnsi"/>
          <w:b/>
          <w:bCs/>
          <w:color w:val="000000"/>
          <w:sz w:val="21"/>
          <w:szCs w:val="21"/>
          <w:lang w:eastAsia="zh-CN"/>
          <w14:ligatures w14:val="none"/>
        </w:rPr>
        <w:tab/>
        <w:tab/>
        <w:tab/>
      </w:r>
      <w:r>
        <w:rPr>
          <w:rFonts w:eastAsia="Arial" w:cs="Calibri" w:cstheme="minorHAnsi"/>
          <w:b/>
          <w:bCs/>
          <w:color w:val="000000"/>
          <w:sz w:val="24"/>
          <w:szCs w:val="24"/>
          <w:lang w:eastAsia="zh-CN"/>
          <w14:ligatures w14:val="none"/>
        </w:rPr>
        <w:t xml:space="preserve">WYKONAWCA </w:t>
        <w:tab/>
        <w:tab/>
        <w:tab/>
        <w:tab/>
        <w:tab/>
        <w:t>ZAMAWIAJĄCY</w:t>
      </w:r>
    </w:p>
    <w:p>
      <w:pPr>
        <w:pStyle w:val="Normal"/>
        <w:spacing w:before="0" w:after="160"/>
        <w:rPr>
          <w:rFonts w:cs="Calibri" w:cstheme="minorHAnsi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134" w:right="1134" w:header="0" w:top="585" w:footer="1133" w:bottom="178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sz w:val="21"/>
        <w:i w:val="false"/>
        <w:b w:val="false"/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sz w:val="21"/>
        <w:i w:val="false"/>
        <w:b w:val="false"/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single"/>
        <w:rFonts w:eastAsia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sz w:val="21"/>
        <w:i w:val="false"/>
        <w:b w:val="false"/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1"/>
        <w:i w:val="false"/>
        <w:b w:val="false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5" w:hanging="360"/>
      </w:pPr>
      <w:rPr>
        <w:sz w:val="21"/>
        <w:i w:val="false"/>
        <w:b w:val="false"/>
        <w:rFonts w:ascii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736c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736c7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0736c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0736c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  <w14:ligatures w14:val="none"/>
    </w:rPr>
  </w:style>
  <w:style w:type="paragraph" w:styleId="Gwka">
    <w:name w:val="Header"/>
    <w:basedOn w:val="Normal"/>
    <w:link w:val="NagwekZnak"/>
    <w:uiPriority w:val="99"/>
    <w:unhideWhenUsed/>
    <w:rsid w:val="000736c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36c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opatrzenie@zoz.chelmno.pl" TargetMode="External"/><Relationship Id="rId3" Type="http://schemas.openxmlformats.org/officeDocument/2006/relationships/hyperlink" Target="mailto:sekretariat@zoz.chemno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LibreOffice/7.0.0.3$Windows_X86_64 LibreOffice_project/8061b3e9204bef6b321a21033174034a5e2ea88e</Application>
  <Pages>5</Pages>
  <Words>2277</Words>
  <Characters>14635</Characters>
  <CharactersWithSpaces>16796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2024-10-21T08:50:00Z</dcterms:created>
  <dc:creator>apawlik</dc:creator>
  <dc:description/>
  <dc:language>pl-PL</dc:language>
  <cp:lastModifiedBy/>
  <dcterms:modified xsi:type="dcterms:W3CDTF">2024-10-21T11:31:11Z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