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"/>
        <w:spacing w:lineRule="auto" w:line="240" w:before="240" w:after="120"/>
        <w:ind w:left="6372" w:right="0" w:hanging="0"/>
        <w:rPr>
          <w:rFonts w:ascii="Calibri" w:hAnsi="Calibri" w:cs="Calibri"/>
          <w:b/>
          <w:b/>
          <w:bCs/>
          <w:sz w:val="21"/>
          <w:szCs w:val="21"/>
        </w:rPr>
      </w:pPr>
      <w:r>
        <w:rPr>
          <w:rFonts w:cs="Calibri" w:ascii="Calibri" w:hAnsi="Calibri"/>
          <w:b/>
          <w:bCs/>
          <w:sz w:val="21"/>
          <w:szCs w:val="21"/>
        </w:rPr>
        <w:tab/>
        <w:t xml:space="preserve">Załącznik nr 2 </w:t>
      </w:r>
    </w:p>
    <w:p>
      <w:pPr>
        <w:pStyle w:val="Nagwek2"/>
        <w:jc w:val="center"/>
        <w:rPr>
          <w:rFonts w:ascii="Calibri" w:hAnsi="Calibri" w:cs="Calibri"/>
          <w:b/>
          <w:b/>
          <w:bCs/>
          <w:sz w:val="21"/>
          <w:szCs w:val="21"/>
        </w:rPr>
      </w:pPr>
      <w:r>
        <w:rPr>
          <w:rFonts w:cs="Calibri" w:ascii="Calibri" w:hAnsi="Calibri"/>
          <w:b/>
          <w:bCs/>
          <w:sz w:val="21"/>
          <w:szCs w:val="21"/>
        </w:rPr>
        <w:t>SPECYFIKACJA TECHNICZNA</w:t>
      </w:r>
    </w:p>
    <w:p>
      <w:pPr>
        <w:pStyle w:val="Tretekstu"/>
        <w:jc w:val="center"/>
        <w:rPr>
          <w:rFonts w:ascii="Calibri" w:hAnsi="Calibri" w:cs="Calibri"/>
          <w:b/>
          <w:b/>
          <w:bCs/>
          <w:sz w:val="21"/>
          <w:szCs w:val="21"/>
        </w:rPr>
      </w:pPr>
      <w:r>
        <w:rPr>
          <w:rFonts w:cs="Calibri"/>
          <w:b/>
          <w:bCs/>
          <w:sz w:val="21"/>
          <w:szCs w:val="21"/>
        </w:rPr>
        <w:t>PAKIET NR 1– SYSTEM DO OGRZEWANIA PACJENTA</w:t>
      </w:r>
    </w:p>
    <w:p>
      <w:pPr>
        <w:pStyle w:val="Normal"/>
        <w:jc w:val="left"/>
        <w:rPr>
          <w:rFonts w:ascii="Calibri" w:hAnsi="Calibri" w:cs="Calibri"/>
          <w:b/>
          <w:b/>
          <w:bCs/>
          <w:sz w:val="21"/>
          <w:szCs w:val="21"/>
          <w:u w:val="single"/>
        </w:rPr>
      </w:pPr>
      <w:r>
        <w:rPr>
          <w:rFonts w:cs="Calibri" w:ascii="Calibri" w:hAnsi="Calibri"/>
          <w:b/>
          <w:bCs/>
          <w:sz w:val="21"/>
          <w:szCs w:val="21"/>
          <w:u w:val="single"/>
        </w:rPr>
      </w:r>
    </w:p>
    <w:p>
      <w:pPr>
        <w:pStyle w:val="Normal"/>
        <w:jc w:val="left"/>
        <w:rPr>
          <w:rFonts w:ascii="Calibri" w:hAnsi="Calibri" w:cs="Calibri"/>
          <w:b/>
          <w:b/>
          <w:bCs/>
          <w:sz w:val="21"/>
          <w:szCs w:val="21"/>
          <w:u w:val="single"/>
        </w:rPr>
      </w:pPr>
      <w:r>
        <w:rPr>
          <w:rFonts w:cs="Calibri" w:ascii="Calibri" w:hAnsi="Calibri"/>
          <w:b/>
          <w:bCs/>
          <w:sz w:val="21"/>
          <w:szCs w:val="21"/>
          <w:u w:val="single"/>
        </w:rPr>
        <w:t>SYSTEM DO OGRZEWANIA PACJENTA - 2 szt.</w:t>
      </w:r>
    </w:p>
    <w:p>
      <w:pPr>
        <w:pStyle w:val="Normal"/>
        <w:rPr>
          <w:rFonts w:ascii="Calibri" w:hAnsi="Calibri" w:cs="Calibri"/>
          <w:b/>
          <w:b/>
          <w:bCs/>
          <w:sz w:val="21"/>
          <w:szCs w:val="21"/>
        </w:rPr>
      </w:pPr>
      <w:r>
        <w:rPr>
          <w:rFonts w:cs="Calibri" w:ascii="Calibri" w:hAnsi="Calibri"/>
          <w:b/>
          <w:bCs/>
          <w:sz w:val="21"/>
          <w:szCs w:val="21"/>
        </w:rPr>
      </w:r>
    </w:p>
    <w:p>
      <w:pPr>
        <w:pStyle w:val="Normal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eastAsia="Calibri" w:cs="Calibri" w:ascii="Calibri" w:hAnsi="Calibri"/>
          <w:sz w:val="21"/>
          <w:szCs w:val="21"/>
          <w:lang w:eastAsia="en-US"/>
        </w:rPr>
        <w:t>Producent:</w:t>
        <w:tab/>
        <w:t>……………………………………………………..(PODAĆ)</w:t>
      </w:r>
    </w:p>
    <w:p>
      <w:pPr>
        <w:pStyle w:val="Normal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eastAsia="Calibri" w:cs="Calibri" w:ascii="Calibri" w:hAnsi="Calibri"/>
          <w:sz w:val="21"/>
          <w:szCs w:val="21"/>
          <w:lang w:eastAsia="en-US"/>
        </w:rPr>
        <w:tab/>
      </w:r>
    </w:p>
    <w:p>
      <w:pPr>
        <w:pStyle w:val="Normal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eastAsia="Calibri" w:cs="Calibri" w:ascii="Calibri" w:hAnsi="Calibri"/>
          <w:sz w:val="21"/>
          <w:szCs w:val="21"/>
          <w:lang w:eastAsia="en-US"/>
        </w:rPr>
        <w:t>Model:</w:t>
        <w:tab/>
        <w:t xml:space="preserve">  </w:t>
        <w:tab/>
        <w:t>……………………………………………………..(PODAĆ)</w:t>
      </w:r>
    </w:p>
    <w:p>
      <w:pPr>
        <w:pStyle w:val="Normal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eastAsia="Calibri" w:cs="Calibri" w:ascii="Calibri" w:hAnsi="Calibri"/>
          <w:sz w:val="21"/>
          <w:szCs w:val="21"/>
          <w:lang w:eastAsia="en-US"/>
        </w:rPr>
        <w:tab/>
        <w:tab/>
      </w:r>
    </w:p>
    <w:p>
      <w:pPr>
        <w:pStyle w:val="Normal"/>
        <w:jc w:val="both"/>
        <w:rPr>
          <w:rFonts w:ascii="Calibri" w:hAnsi="Calibri" w:eastAsia="Calibri" w:cs="Calibri"/>
          <w:sz w:val="21"/>
          <w:szCs w:val="21"/>
          <w:lang w:eastAsia="en-US"/>
        </w:rPr>
      </w:pPr>
      <w:r>
        <w:rPr>
          <w:rFonts w:eastAsia="Calibri" w:cs="Calibri" w:ascii="Calibri" w:hAnsi="Calibri"/>
          <w:sz w:val="21"/>
          <w:szCs w:val="21"/>
          <w:lang w:eastAsia="en-US"/>
        </w:rPr>
        <w:t>Kraj pochodzenia:……………………………………………………..(PODAĆ)</w:t>
      </w:r>
    </w:p>
    <w:p>
      <w:pPr>
        <w:pStyle w:val="Normal"/>
        <w:jc w:val="both"/>
        <w:rPr>
          <w:rFonts w:ascii="Calibri" w:hAnsi="Calibri" w:eastAsia="Calibri" w:cs="Calibri"/>
          <w:sz w:val="21"/>
          <w:szCs w:val="21"/>
          <w:shd w:fill="auto" w:val="clear"/>
          <w:lang w:eastAsia="en-US"/>
        </w:rPr>
      </w:pPr>
      <w:r>
        <w:rPr>
          <w:rFonts w:eastAsia="Calibri" w:cs="Calibri" w:ascii="Calibri" w:hAnsi="Calibri"/>
          <w:sz w:val="21"/>
          <w:szCs w:val="21"/>
          <w:shd w:fill="auto" w:val="clear"/>
          <w:lang w:eastAsia="en-US"/>
        </w:rPr>
      </w:r>
    </w:p>
    <w:p>
      <w:pPr>
        <w:pStyle w:val="Normal"/>
        <w:jc w:val="both"/>
        <w:rPr>
          <w:shd w:fill="auto" w:val="clear"/>
        </w:rPr>
      </w:pPr>
      <w:r>
        <w:rPr>
          <w:rFonts w:eastAsia="Calibri" w:cs="Calibri" w:ascii="Calibri" w:hAnsi="Calibri"/>
          <w:b/>
          <w:sz w:val="21"/>
          <w:szCs w:val="21"/>
          <w:shd w:fill="auto" w:val="clear"/>
          <w:lang w:eastAsia="en-US"/>
        </w:rPr>
        <w:t xml:space="preserve">Rok produkcji: </w:t>
      </w:r>
      <w:r>
        <w:rPr>
          <w:rFonts w:eastAsia="Calibri" w:cs="Calibri" w:ascii="Calibri" w:hAnsi="Calibri"/>
          <w:b/>
          <w:sz w:val="21"/>
          <w:szCs w:val="21"/>
          <w:shd w:fill="auto" w:val="clear"/>
          <w:lang w:eastAsia="en-US"/>
          <w14:ligatures w14:val="none"/>
        </w:rPr>
        <w:t xml:space="preserve"> </w:t>
      </w:r>
      <w:r>
        <w:rPr>
          <w:rFonts w:eastAsia="Calibri" w:cs="Calibri" w:ascii="Calibri" w:hAnsi="Calibri"/>
          <w:b/>
          <w:color w:val="000000"/>
          <w:sz w:val="21"/>
          <w:szCs w:val="21"/>
          <w:shd w:fill="auto" w:val="clear"/>
          <w:lang w:eastAsia="en-US"/>
          <w14:ligatures w14:val="none"/>
        </w:rPr>
        <w:t>nie starszy niż 2024 r. ………………………...</w:t>
      </w:r>
      <w:r>
        <w:rPr>
          <w:rFonts w:eastAsia="Calibri" w:cs="Calibri" w:ascii="Calibri" w:hAnsi="Calibri"/>
          <w:b/>
          <w:color w:val="000000"/>
          <w:sz w:val="21"/>
          <w:szCs w:val="21"/>
          <w:shd w:fill="auto" w:val="clear"/>
          <w:lang w:eastAsia="en-US"/>
          <w14:ligatures w14:val="none"/>
        </w:rPr>
        <w:t>(podać)</w:t>
      </w:r>
    </w:p>
    <w:p>
      <w:pPr>
        <w:pStyle w:val="Normal"/>
        <w:jc w:val="both"/>
        <w:rPr>
          <w:rFonts w:ascii="Calibri" w:hAnsi="Calibri" w:eastAsia="Calibri" w:cs="Calibri"/>
          <w:b/>
          <w:b/>
          <w:color w:val="000000"/>
          <w:sz w:val="21"/>
          <w:szCs w:val="21"/>
          <w:lang w:eastAsia="en-US"/>
          <w14:ligatures w14:val="none"/>
        </w:rPr>
      </w:pPr>
      <w:r>
        <w:rPr>
          <w:shd w:fill="auto" w:val="clear"/>
        </w:rPr>
      </w:r>
    </w:p>
    <w:tbl>
      <w:tblPr>
        <w:tblStyle w:val="Tabela-Siatka"/>
        <w:tblW w:w="9351" w:type="dxa"/>
        <w:jc w:val="left"/>
        <w:tblInd w:w="-28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2"/>
        <w:gridCol w:w="5954"/>
        <w:gridCol w:w="1250"/>
        <w:gridCol w:w="1584"/>
      </w:tblGrid>
      <w:tr>
        <w:trPr/>
        <w:tc>
          <w:tcPr>
            <w:tcW w:w="562" w:type="dxa"/>
            <w:tcBorders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  <w:shd w:fill="auto" w:val="clear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  <w:shd w:fill="auto" w:val="clear"/>
              </w:rPr>
              <w:t>L.p.</w:t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  <w:shd w:fill="auto" w:val="clear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  <w:shd w:fill="auto" w:val="clear"/>
              </w:rPr>
              <w:t>Pozycja asortymentowa oraz parametry (funkcje) wymagane (minimalne)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  <w:shd w:fill="auto" w:val="clear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  <w:shd w:fill="auto" w:val="clear"/>
              </w:rPr>
              <w:t xml:space="preserve">Wartość 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  <w:shd w:fill="auto" w:val="clear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  <w:shd w:fill="auto" w:val="clear"/>
              </w:rPr>
              <w:t xml:space="preserve">wymagana 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jc w:val="center"/>
              <w:rPr>
                <w:rFonts w:ascii="Calibri" w:hAnsi="Calibri" w:cs="Calibri"/>
                <w:b/>
                <w:b/>
                <w:bCs/>
                <w:sz w:val="21"/>
                <w:szCs w:val="21"/>
                <w:shd w:fill="auto" w:val="clear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  <w:shd w:fill="auto" w:val="clear"/>
              </w:rPr>
              <w:t>Wartość oferowana (wypełnia wykonawca)</w:t>
            </w:r>
          </w:p>
        </w:tc>
      </w:tr>
      <w:tr>
        <w:trPr/>
        <w:tc>
          <w:tcPr>
            <w:tcW w:w="562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System ogrzewania pacjenta składający się z jednostki sterującej oraz elementu grzewczego wraz z przewodem dołączeniowym: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Jednostka sterująca – 1 szt.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Element grzewczy – materac - 1 szt.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Przewód dołączeniowy – 1 szt.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Dedykowany stojak mobilny z koszem do systemu ogrzewania pacjenta – 1 szt.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Tak, podać</w:t>
            </w:r>
          </w:p>
        </w:tc>
        <w:tc>
          <w:tcPr>
            <w:tcW w:w="158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878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1"/>
                <w:szCs w:val="21"/>
                <w:shd w:fill="auto" w:val="clear"/>
                <w:lang w:val="pl-PL" w:bidi="ar-SA"/>
              </w:rPr>
              <w:t>JEDNOSTKA STERUJĄCA</w:t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Jednostka sterująca do obsługi elementów grzewczych przeznaczonych do stosowania u noworodków, dorosłych i dzieci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Tak, podać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Obudowa wykonana z tworzywa sztucznego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Przełącznik zasilania umieszczony z tyłu urządzenia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Włącznik/wyłącznik w postaci przycisku membranowego umieszczony z przodu urządzenia przy panelu sterowania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 xml:space="preserve">Możliwość podłączenia i niezależnego sterowania 3 elementami grzewczymi jednocześnie – 3 porty do podłączenia elementów grzewczych 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Porty posiadające oznakowanie od 1 do 3 odpowiadające numeracji na interfejsie użytkownika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Złącza do podłączenia elementów grzewczych umieszczone z przodu co ułatwia przygotowanie urządzenia do pracy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Wyprofilowany uchwyt do przenoszenia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Możliwość zawieszenia jednostki sterującej na stojaku do kroplówek – w kpl. niezbędny osprzęt lub postawienia np. na kolumnie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Możliwość zamocowania jednostki sterującej na dedykowanym statywie mobilnym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1"/>
                <w:szCs w:val="21"/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Klasa</w:t>
            </w: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 xml:space="preserve"> przed dostępem do niebezpiecznych części przed penetracją czynników zewnętrznych min IP20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Tak, podać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Default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/>
                <w:color w:val="000000"/>
                <w:sz w:val="21"/>
                <w:szCs w:val="21"/>
                <w:shd w:fill="auto" w:val="clear"/>
                <w:lang w:val="pl-PL"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/>
                <w:color w:val="000000"/>
                <w:sz w:val="21"/>
                <w:szCs w:val="21"/>
                <w:shd w:fill="auto" w:val="clear"/>
                <w:lang w:val="pl-PL" w:bidi="ar-SA"/>
              </w:rPr>
              <w:t>Zasilanie 180-240 VAC / 50-60 Hz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Default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/>
                <w:color w:val="000000"/>
                <w:sz w:val="21"/>
                <w:szCs w:val="21"/>
                <w:shd w:fill="auto" w:val="clear"/>
                <w:lang w:val="pl-PL"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/>
                <w:color w:val="000000"/>
                <w:sz w:val="21"/>
                <w:szCs w:val="21"/>
                <w:shd w:fill="auto" w:val="clear"/>
                <w:lang w:val="pl-PL" w:bidi="ar-SA"/>
              </w:rPr>
              <w:t xml:space="preserve">Moc 997 VA 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Default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/>
                <w:color w:val="000000"/>
                <w:sz w:val="21"/>
                <w:szCs w:val="21"/>
                <w:shd w:fill="auto" w:val="clear"/>
                <w:lang w:val="pl-PL"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left"/>
              <w:rPr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/>
                <w:color w:val="000000"/>
                <w:sz w:val="21"/>
                <w:szCs w:val="21"/>
                <w:shd w:fill="auto" w:val="clear"/>
                <w:lang w:val="pl-PL" w:bidi="ar-SA"/>
              </w:rPr>
              <w:t xml:space="preserve">Napięcie wyjściowe do zasilania elementów grzewczych 24V DC 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Klasa zabezpieczenia elektrycznego II typ BF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1"/>
                <w:szCs w:val="21"/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Zakres regulacji temperatury 30-40</w:t>
            </w: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vertAlign w:val="superscript"/>
                <w:lang w:val="pl-PL" w:bidi="ar-SA"/>
              </w:rPr>
              <w:t>°</w:t>
            </w: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C co 0,1</w:t>
            </w: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vertAlign w:val="superscript"/>
                <w:lang w:val="pl-PL" w:bidi="ar-SA"/>
              </w:rPr>
              <w:t>°</w:t>
            </w: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C dla każdego portu grzewczego niezależnie - 30-39</w:t>
            </w: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vertAlign w:val="superscript"/>
                <w:lang w:val="pl-PL" w:bidi="ar-SA"/>
              </w:rPr>
              <w:t>°</w:t>
            </w: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C co 0,1</w:t>
            </w: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vertAlign w:val="superscript"/>
                <w:lang w:val="pl-PL" w:bidi="ar-SA"/>
              </w:rPr>
              <w:t>°</w:t>
            </w: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 xml:space="preserve">C dla noworodków - urządzenie automatycznie ustala limit w zależności od typu podłączonego elementu grzewczego 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Tak, podać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Okres żywotności min. 10 lat wyspecyfikowany w instrukcji użytkowania oraz oznaczony na etykiecie wyrobu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Tak, podać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Dotykowy, kolorowy panel sterowania parametrami urządzenia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Tak, podać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Interfejs wyświetla ustawienia dla wszystkich 3 portów jednocześnie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Interfejs użytkownika dla każdego z portów / podłączonych elementów grzewczych, zawiera co najmniej: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- nr portu grzewczego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- włącznik aktywacji portu – z kolorystycznym indykatorem aktywacji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- wskaźnik temperatury ustawionej, ze skokiem 0,1°C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- wskaźnik temperatury rzeczywistej ze skokiem 0,1°C, wskaźniki w innych kolorach w celu ułatwienia identyfikacji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 xml:space="preserve">- wskaźnik temperatury ciała pacjenta w przypadku podłączenia czujnika zewnętrznego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 xml:space="preserve">- nazwa podłączonego elementu grzewczego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- wskaźnik słupkowy mocy ogrzewania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- przycisk menu trybu regulacji temp. z automatycznym powrotem w przypadku braku zmiany ustawień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- menu regulacji temperatury – przyciski góra / dół, zakres 30-40°C skok co 0,1°C lub 30-39°C co 0,1°C dla noworodków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- zabezpieczenie przed przypadkową zmianą parametrów ogrzewania – wymagana akceptacja ustawionej temperatury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- wskaźnik alarmu – komunikat tekstowy z możliwością wyciszenia za pomocą przycisku aktywowanego przy wystąpieniu sytuacji alarmowej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Tak, podać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Wyświetlanie komunikatów alarmowych dla każdego portu niezależnie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Dostępne następujące komunikaty alarmowe: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 xml:space="preserve">-odchylenia temperatury;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-wysokiej temperatury;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-rozłączenia elementu grzewczego;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 xml:space="preserve">-niedogrzania,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Alarmy z możliwością wyciszenia na 10 minut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Tak, podać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Alarm zaniku zasilania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Default"/>
              <w:widowControl w:val="false"/>
              <w:numPr>
                <w:ilvl w:val="0"/>
                <w:numId w:val="1"/>
              </w:numPr>
              <w:tabs>
                <w:tab w:val="clear" w:pos="708"/>
                <w:tab w:val="center" w:pos="2441" w:leader="none"/>
              </w:tabs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/>
                <w:color w:val="000000"/>
                <w:sz w:val="21"/>
                <w:szCs w:val="21"/>
                <w:shd w:fill="auto" w:val="clear"/>
                <w:lang w:val="pl-PL"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Default"/>
              <w:widowControl w:val="false"/>
              <w:tabs>
                <w:tab w:val="clear" w:pos="708"/>
                <w:tab w:val="center" w:pos="2441" w:leader="none"/>
              </w:tabs>
              <w:suppressAutoHyphens w:val="true"/>
              <w:spacing w:before="0" w:after="0"/>
              <w:jc w:val="left"/>
              <w:rPr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/>
                <w:color w:val="000000"/>
                <w:sz w:val="21"/>
                <w:szCs w:val="21"/>
                <w:shd w:fill="auto" w:val="clear"/>
                <w:lang w:val="pl-PL" w:bidi="ar-SA"/>
              </w:rPr>
              <w:t>Wymiary max. 250x280x170 mm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Tak, podać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Default"/>
              <w:widowControl w:val="false"/>
              <w:numPr>
                <w:ilvl w:val="0"/>
                <w:numId w:val="1"/>
              </w:numPr>
              <w:tabs>
                <w:tab w:val="clear" w:pos="708"/>
                <w:tab w:val="center" w:pos="2441" w:leader="none"/>
              </w:tabs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/>
                <w:color w:val="000000"/>
                <w:sz w:val="21"/>
                <w:szCs w:val="21"/>
                <w:shd w:fill="auto" w:val="clear"/>
                <w:lang w:val="pl-PL"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Default"/>
              <w:widowControl w:val="false"/>
              <w:tabs>
                <w:tab w:val="clear" w:pos="708"/>
                <w:tab w:val="center" w:pos="2441" w:leader="none"/>
              </w:tabs>
              <w:suppressAutoHyphens w:val="true"/>
              <w:spacing w:before="0" w:after="0"/>
              <w:jc w:val="left"/>
              <w:rPr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/>
                <w:color w:val="000000"/>
                <w:sz w:val="21"/>
                <w:szCs w:val="21"/>
                <w:shd w:fill="auto" w:val="clear"/>
                <w:lang w:val="pl-PL" w:bidi="ar-SA"/>
              </w:rPr>
              <w:t>Waga max. 4kg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Tak, podać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  <w:bookmarkStart w:id="0" w:name="_Hlk139969744_kopia_1"/>
            <w:bookmarkStart w:id="1" w:name="_Hlk139969744_kopia_1"/>
            <w:bookmarkEnd w:id="1"/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Dokładność pomiaru +/-0,3°C dla elementów grzewczych, +/-0,2°C dla zewnętrznych czujników temperatury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Warunki pracy -10°C / +40°C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878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1"/>
                <w:szCs w:val="21"/>
                <w:shd w:fill="auto" w:val="clear"/>
                <w:lang w:val="pl-PL" w:bidi="ar-SA"/>
              </w:rPr>
              <w:t>ELEMENT GRZEWCZY - MATERAC</w:t>
            </w:r>
          </w:p>
        </w:tc>
      </w:tr>
      <w:tr>
        <w:trPr>
          <w:trHeight w:val="253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Okres żywotności min. 7 lat wyspecyfikowany w instrukcji użytkowania oraz oznaczony na etykiecie wyrobu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Tak, podać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25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W kpl. wymienny pokrowiec zewnętrzny z okresem żywotności min. 2 lata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Tak, podać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25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1"/>
                <w:szCs w:val="21"/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Pokrowiec zewnętrzny elementów grzewczych o gramaturze min. 200 g/m</w:t>
            </w: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vertAlign w:val="superscript"/>
                <w:lang w:val="pl-PL" w:bidi="ar-SA"/>
              </w:rPr>
              <w:t>2</w:t>
            </w: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, materiał poliester / poliwęglan poliuretan, paroprzepuszczalne min. 500g/m</w:t>
            </w: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vertAlign w:val="superscript"/>
                <w:lang w:val="pl-PL" w:bidi="ar-SA"/>
              </w:rPr>
              <w:t>2</w:t>
            </w: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/24h, brak zawartości halogenu, Oeko-Tex klasa I, z możliwością prania do 50 razy w temp. 95°C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Tak, podać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color w:val="FF0000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color w:val="FF0000"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25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Zgrzewane szwy pokrycia elementu grzewczego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25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Szyte szwy wymiennego pokrowca zewnętrznego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25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Element grzewczy o klasie ochrony: IP02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sz w:val="21"/>
                <w:szCs w:val="21"/>
                <w:shd w:fill="auto" w:val="clear"/>
                <w:lang w:val="pl-PL" w:bidi="ar-SA"/>
              </w:rPr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25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Zasilanie 24V DC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sz w:val="21"/>
                <w:szCs w:val="21"/>
                <w:shd w:fill="auto" w:val="clear"/>
                <w:lang w:val="pl-PL" w:bidi="ar-SA"/>
              </w:rPr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25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 xml:space="preserve">Element grzewczy składający się z zewnętrznej powłoki poliuretanowej, silikonowego włókna do izolacji termicznej, grzałki z tkaniny węglowej, warstwy z pianki przeciwodleżynowej 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color w:val="FF0000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color w:val="FF0000"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25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val="pl-PL"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Min 10 czujników temperatury NTC w elemencie grzewczym z trwale oznaczonym diagramem na pokrowcu elementu grzewczego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25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Oznaczenie ciepłej strony elementu grzewczego na pokrowcu zewnętrznym w postaci piktogramu i tekstu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25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Pokrowiec materaca grzewczego posiada wbudowane pasy z trokami do mocowania do relingów stołu, aplikacja od góry z wyłogami wewnętrznymi do umieszczenia materaca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25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Zintegrowany kabel połączeniowy o długości 1m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25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Wymiary oraz moc elementu grzewczego: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Materac grzewczy z pianką przeciwodleżynową 120x50x4cm, 135W – 1 szt.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Tak, podać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8788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1"/>
                <w:szCs w:val="21"/>
                <w:shd w:fill="auto" w:val="clear"/>
                <w:lang w:val="pl-PL" w:bidi="ar-SA"/>
              </w:rPr>
              <w:t>PRZEWÓD DOŁĄCZENIOWY</w:t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Przewód dołączeniowy wyposażony w złącze do wpięcia czujnika temperatury.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val="pl-PL"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Długość przewodu 2m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/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Każdy przewód oznakowany indywidualnym numerem seryjnym w minimum 2 miejscach w celu zabezpieczenia przed zmazaniem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10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sz w:val="21"/>
                <w:szCs w:val="21"/>
                <w:shd w:fill="auto" w:val="clear"/>
                <w:lang w:val="pl-PL" w:bidi="ar-SA"/>
              </w:rPr>
              <w:t>DEDYKOWANY STOJAK MOBILNY Z KOSZEM DO SYSTEMU OGRZEWANIA PACJENTA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10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Stojak mobilny kompatybilny z systemem ogrzewania pacjenta wyspecyfikowanym powyżej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10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val="pl-PL"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Przeznaczony do łatwego transportowania systemów ogrzewania - jednostek sterowania oraz elementów grzewczych.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10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val="pl-PL"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 xml:space="preserve">Montaż jednostki sterującej do stojaka za pomocą złącza mocującego 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10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Kosz montowany za pomocą śrub montażowych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10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Stojak wyposażony w 4 koła, w tym min. 2 koła z blokadą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10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val="pl-PL"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Wymiary podstawy max. 55x50cm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10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Wysokość min. 95cm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10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Wymiary kosza min. 60x40x20cm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102" w:hRule="atLeast"/>
        </w:trPr>
        <w:tc>
          <w:tcPr>
            <w:tcW w:w="56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Waga całkowita max. 15kg</w:t>
            </w:r>
          </w:p>
        </w:tc>
        <w:tc>
          <w:tcPr>
            <w:tcW w:w="1250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  <w:t>Tak</w:t>
            </w:r>
          </w:p>
        </w:tc>
        <w:tc>
          <w:tcPr>
            <w:tcW w:w="158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sz w:val="21"/>
                <w:szCs w:val="21"/>
                <w:shd w:fill="auto" w:val="clear"/>
                <w:lang w:val="pl-PL" w:bidi="ar-SA"/>
              </w:rPr>
            </w:r>
          </w:p>
        </w:tc>
      </w:tr>
      <w:tr>
        <w:trPr>
          <w:trHeight w:val="102" w:hRule="atLeast"/>
        </w:trPr>
        <w:tc>
          <w:tcPr>
            <w:tcW w:w="562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auto" w:val="clear"/>
                <w:lang w:bidi="ar-SA"/>
              </w:rPr>
            </w:r>
          </w:p>
        </w:tc>
        <w:tc>
          <w:tcPr>
            <w:tcW w:w="595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/>
            </w:pPr>
            <w:r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  <w:t xml:space="preserve">Gwarancja </w:t>
            </w:r>
            <w:r>
              <w:rPr>
                <w:rFonts w:eastAsia="Times New Roman" w:cs="Times New Roman" w:ascii="Calibri" w:hAnsi="Calibri"/>
                <w:color w:val="000000"/>
                <w:kern w:val="0"/>
                <w:sz w:val="21"/>
                <w:szCs w:val="21"/>
                <w:shd w:fill="auto" w:val="clear"/>
                <w:lang w:val="pl-PL" w:eastAsia="pl-PL" w:bidi="ar-SA"/>
              </w:rPr>
              <w:t>min. 24 miesiące</w:t>
            </w:r>
          </w:p>
        </w:tc>
        <w:tc>
          <w:tcPr>
            <w:tcW w:w="1250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  <w:t>Tak/ podać</w:t>
            </w:r>
          </w:p>
        </w:tc>
        <w:tc>
          <w:tcPr>
            <w:tcW w:w="1584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auto" w:val="clear"/>
                <w:lang w:val="pl-PL" w:bidi="ar-SA"/>
              </w:rPr>
            </w:pPr>
            <w:r>
              <w:rPr>
                <w:rFonts w:cs="Calibri" w:cstheme="minorHAnsi" w:ascii="Calibri" w:hAnsi="Calibri"/>
                <w:sz w:val="21"/>
                <w:szCs w:val="21"/>
                <w:shd w:fill="auto" w:val="clear"/>
                <w:lang w:val="pl-PL" w:bidi="ar-SA"/>
              </w:rPr>
            </w:r>
          </w:p>
        </w:tc>
      </w:tr>
    </w:tbl>
    <w:p>
      <w:pPr>
        <w:pStyle w:val="Normal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shd w:fill="auto" w:val="clear"/>
        </w:rPr>
      </w:pPr>
      <w:r>
        <w:rPr>
          <w:shd w:fill="auto" w:val="clear"/>
        </w:rPr>
      </w:r>
    </w:p>
    <w:p>
      <w:pPr>
        <w:pStyle w:val="Normal"/>
        <w:rPr>
          <w:shd w:fill="auto" w:val="clear"/>
        </w:rPr>
      </w:pPr>
      <w:r>
        <w:rPr>
          <w:shd w:fill="auto" w:val="clear"/>
        </w:rPr>
        <w:t>…………………………</w:t>
      </w:r>
      <w:r>
        <w:rPr>
          <w:shd w:fill="auto" w:val="clear"/>
        </w:rPr>
        <w:t>.</w:t>
      </w:r>
    </w:p>
    <w:p>
      <w:pPr>
        <w:pStyle w:val="Normal"/>
        <w:rPr>
          <w:shd w:fill="auto" w:val="clear"/>
        </w:rPr>
      </w:pPr>
      <w:r>
        <w:rPr>
          <w:shd w:fill="auto" w:val="clear"/>
        </w:rPr>
        <w:t>podpis osoby upoważnionej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c0bf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  <w14:ligatures w14:val="none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podstawowyZnak" w:customStyle="1">
    <w:name w:val="Tekst podstawowy Znak"/>
    <w:basedOn w:val="DefaultParagraphFont"/>
    <w:uiPriority w:val="1"/>
    <w:qFormat/>
    <w:rsid w:val="003074c2"/>
    <w:rPr>
      <w:rFonts w:ascii="Calibri" w:hAnsi="Calibri" w:eastAsia="Calibri" w:cs="Calibri"/>
      <w:kern w:val="0"/>
      <w:lang w:val="en-US"/>
      <w14:ligatures w14:val="none"/>
    </w:rPr>
  </w:style>
  <w:style w:type="character" w:styleId="Czeinternetowe">
    <w:name w:val="Łącze internetowe"/>
    <w:basedOn w:val="DefaultParagraphFont"/>
    <w:uiPriority w:val="99"/>
    <w:unhideWhenUsed/>
    <w:rsid w:val="006a2b2f"/>
    <w:rPr>
      <w:color w:val="0000FF"/>
      <w:u w:val="single"/>
    </w:rPr>
  </w:style>
  <w:style w:type="character" w:styleId="NagwekZnak" w:customStyle="1">
    <w:name w:val="Nagłówek Znak"/>
    <w:basedOn w:val="DefaultParagraphFont"/>
    <w:uiPriority w:val="99"/>
    <w:qFormat/>
    <w:rsid w:val="00b2354b"/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b2354b"/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1"/>
    <w:qFormat/>
    <w:rsid w:val="003074c2"/>
    <w:pPr>
      <w:widowControl w:val="false"/>
    </w:pPr>
    <w:rPr>
      <w:rFonts w:ascii="Calibri" w:hAnsi="Calibri" w:eastAsia="Calibri" w:cs="Calibri"/>
      <w:sz w:val="22"/>
      <w:szCs w:val="22"/>
      <w:lang w:val="en-US" w:eastAsia="en-US"/>
    </w:rPr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basedOn w:val="Normal"/>
    <w:qFormat/>
    <w:rsid w:val="001d367c"/>
    <w:pPr/>
    <w:rPr>
      <w:rFonts w:ascii="Calibri" w:hAnsi="Calibri" w:eastAsia="Calibri" w:cs="Calibri" w:eastAsiaTheme="minorHAnsi"/>
      <w:color w:val="000000"/>
      <w:lang w:eastAsia="en-US"/>
      <w14:ligatures w14:val="standardContextual"/>
    </w:rPr>
  </w:style>
  <w:style w:type="paragraph" w:styleId="ListParagraph">
    <w:name w:val="List Paragraph"/>
    <w:basedOn w:val="Normal"/>
    <w:uiPriority w:val="1"/>
    <w:qFormat/>
    <w:rsid w:val="009532b9"/>
    <w:pPr>
      <w:widowControl w:val="false"/>
      <w:ind w:left="840" w:hanging="360"/>
    </w:pPr>
    <w:rPr>
      <w:rFonts w:ascii="Calibri" w:hAnsi="Calibri" w:eastAsia="Calibri" w:cs="Calibri"/>
      <w:sz w:val="22"/>
      <w:szCs w:val="22"/>
      <w:lang w:val="en-US" w:eastAsia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b2354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b2354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4960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LibreOffice/7.0.0.3$Windows_X86_64 LibreOffice_project/8061b3e9204bef6b321a21033174034a5e2ea88e</Application>
  <Pages>3</Pages>
  <Words>876</Words>
  <Characters>5522</Characters>
  <CharactersWithSpaces>6223</CharactersWithSpaces>
  <Paragraphs>209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2024-08-02T10:01:00Z</dcterms:created>
  <dc:creator/>
  <dc:description/>
  <dc:language>pl-PL</dc:language>
  <cp:lastModifiedBy/>
  <dcterms:modified xsi:type="dcterms:W3CDTF">2025-11-05T12:24:58Z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