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  <w:t>Załącznik nr 1 – OPIS PRZEDMIOTU ZAMÓWIENIA</w:t>
      </w:r>
    </w:p>
    <w:p>
      <w:pPr>
        <w:pStyle w:val="Normal"/>
        <w:spacing w:lineRule="auto" w:line="276"/>
        <w:jc w:val="both"/>
        <w:rPr>
          <w:rFonts w:ascii="Arial" w:hAnsi="Arial" w:cs="Segoe UI Light"/>
          <w:b/>
          <w:b/>
          <w:color w:val="000000" w:themeColor="text1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-15" w:firstLine="15"/>
        <w:jc w:val="both"/>
        <w:rPr>
          <w:rFonts w:ascii="Arial" w:hAnsi="Arial" w:cs="Segoe UI Light"/>
          <w:b/>
          <w:b/>
          <w:color w:val="000000" w:themeColor="text1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  <w:t xml:space="preserve">DOTYCZY: SZACOWANIA WARTOŚCI ZAMÓWIENIA NA </w:t>
      </w:r>
      <w:r>
        <w:rPr>
          <w:rFonts w:eastAsia="" w:cs="Segoe UI Light" w:ascii="Arial" w:hAnsi="Arial" w:eastAsiaTheme="majorEastAsia"/>
          <w:b/>
          <w:bCs/>
          <w:color w:val="000000" w:themeColor="text1"/>
          <w:sz w:val="20"/>
          <w:szCs w:val="20"/>
        </w:rPr>
        <w:t>DOSTĘP DO NOWYCH WERSJI ORAZ ŚWIADCZENIE OPIEKI SERWISOWEJ DLA SYSTEMU INFORMATYCZNEGO ESKULAP.</w:t>
      </w:r>
    </w:p>
    <w:p>
      <w:pPr>
        <w:pStyle w:val="ListParagraph"/>
        <w:numPr>
          <w:ilvl w:val="0"/>
          <w:numId w:val="0"/>
        </w:numPr>
        <w:spacing w:lineRule="auto" w:line="276"/>
        <w:ind w:left="655" w:hanging="0"/>
        <w:rPr>
          <w:rFonts w:ascii="Arial" w:hAnsi="Arial" w:cs="Segoe UI Light"/>
          <w:b/>
          <w:b/>
          <w:color w:val="000000" w:themeColor="text1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</w:r>
    </w:p>
    <w:p>
      <w:pPr>
        <w:pStyle w:val="ListParagraph"/>
        <w:numPr>
          <w:ilvl w:val="0"/>
          <w:numId w:val="20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b/>
          <w:bCs/>
          <w:color w:val="000000" w:themeColor="text1"/>
          <w:sz w:val="20"/>
          <w:szCs w:val="20"/>
        </w:rPr>
        <w:t>DOSTĘP DO NOWYCH WERSJI OPROGRAMOWANIA APLIKACYJNEGO</w:t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b/>
          <w:bCs/>
          <w:color w:val="000000" w:themeColor="text1"/>
          <w:sz w:val="20"/>
          <w:szCs w:val="20"/>
        </w:rPr>
        <w:t>S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>pecyfikacja usługi dostępu do nowych wersji oraz szczegółowe zasady ich realizacji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40"/>
        <w:ind w:left="417" w:hanging="360"/>
        <w:jc w:val="both"/>
        <w:rPr>
          <w:rFonts w:ascii="Arial" w:hAnsi="Arial"/>
          <w:sz w:val="20"/>
          <w:szCs w:val="20"/>
        </w:rPr>
      </w:pPr>
      <w:bookmarkStart w:id="0" w:name="_Hlk87184018"/>
      <w:r>
        <w:rPr>
          <w:rFonts w:cs="Segoe UI Light" w:ascii="Arial" w:hAnsi="Arial"/>
          <w:color w:val="000000" w:themeColor="text1"/>
          <w:sz w:val="20"/>
          <w:szCs w:val="20"/>
        </w:rPr>
        <w:t xml:space="preserve">Dostęp do aktualizacji </w:t>
      </w:r>
      <w:bookmarkStart w:id="1" w:name="_Hlk123564259"/>
      <w:r>
        <w:rPr>
          <w:rFonts w:eastAsia="Calibri" w:cs="Segoe UI Light" w:ascii="Arial" w:hAnsi="Arial"/>
          <w:color w:val="000000" w:themeColor="text1"/>
          <w:sz w:val="20"/>
          <w:szCs w:val="20"/>
        </w:rPr>
        <w:t>Oprogramowania Aplikacyjnego</w:t>
      </w:r>
      <w:bookmarkEnd w:id="1"/>
      <w:r>
        <w:rPr>
          <w:rFonts w:eastAsia="Calibri" w:cs="Segoe UI Light" w:ascii="Arial" w:hAnsi="Arial"/>
          <w:color w:val="000000" w:themeColor="text1"/>
          <w:sz w:val="20"/>
          <w:szCs w:val="20"/>
        </w:rPr>
        <w:t>: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dostęp do aktualizacji za pomocą FTP z indywidualnie przydzielonym kontem użytkownika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czas dostępu 24h/dobę w dni robocze, wolne i święta,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każdy zestaw/paczka aktualizacji musi posiadać dokumentację opisującą wprowadzane zmiany w zakresie technicznym, funkcjonalnym i wynikający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m ze zmian w prawie, 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czas dostarczenia</w:t>
      </w:r>
      <w:r>
        <w:rPr>
          <w:rFonts w:cs="Segoe UI Light" w:ascii="Arial" w:hAnsi="Arial"/>
          <w:b w:val="false"/>
          <w:bCs w:val="false"/>
          <w:color w:val="000000" w:themeColor="text1"/>
          <w:sz w:val="20"/>
          <w:szCs w:val="20"/>
          <w:u w:val="none"/>
        </w:rPr>
        <w:t xml:space="preserve"> aktualizacji wynikającej ze zmian aktów prawnych, do których przestrzegania zobligowany jest Zamawiający wynosi nie później niż 14 dni przed wejściem w życie przy założeniu, że zostały ogłoszone najpóźniej 30 dni przed wejściem w życie. W pozostałych sytuacjach, mających wpływ na zapewnienie ciągłości funkcjonowania S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zpitala w terminie możliwie najszybszym, jednak nie dłuższym niż 14 dni,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gwarancja zgodności wstecz zgromadzonych w Oprogramowaniu Aplikacyjnym danych historycznych, pod kątem technicznym, funkcjonalnym i wynikającym ze zmian w prawie,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Wykonawca zapewnia gwarancję zachowania pełnej sprawności Oprogramowania Aplikacyjnego oraz poprawności i stabilności w zakresie przechowywania danych po wprowadzonych aktualizacjach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w </w:t>
      </w:r>
      <w:r>
        <w:rPr>
          <w:rFonts w:cs="Segoe UI Light" w:ascii="Arial" w:hAnsi="Arial"/>
          <w:color w:val="000000" w:themeColor="text1"/>
          <w:sz w:val="20"/>
          <w:szCs w:val="20"/>
        </w:rPr>
        <w:t>przypadku stwierdzenia wystąpienia wad i błędów w Oprogramowaniu Aplikacyjnym po wprowadzeniu aktualizacji wykonawca zobowiązany jest do nieodpłatnego usunięcia przyczyn oraz skutków wad i błędów w terminie do 7 dni od momentu otrzymania zgłoszenia o tym fakcie lub innym terminie ustal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onym i zaakceptowanym przez Zamawiającego, 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156"/>
        <w:ind w:left="737" w:hanging="360"/>
        <w:jc w:val="both"/>
        <w:rPr>
          <w:rFonts w:ascii="Arial" w:hAnsi="Arial"/>
          <w:sz w:val="20"/>
          <w:szCs w:val="20"/>
        </w:rPr>
      </w:pPr>
      <w:bookmarkStart w:id="2" w:name="_Hlk87184354"/>
      <w:r>
        <w:rPr>
          <w:rFonts w:cs="Segoe UI Light" w:ascii="Arial" w:hAnsi="Arial"/>
          <w:color w:val="000000" w:themeColor="text1"/>
          <w:sz w:val="20"/>
          <w:szCs w:val="20"/>
        </w:rPr>
        <w:t xml:space="preserve">w przypadku wystąpienia awarii uniemożliwiającej korzystanie z Oprogramowania Aplikacyjnego po wprowadzeniu aktualizacji </w:t>
      </w:r>
      <w:bookmarkEnd w:id="2"/>
      <w:r>
        <w:rPr>
          <w:rFonts w:cs="Segoe UI Light" w:ascii="Arial" w:hAnsi="Arial"/>
          <w:color w:val="000000" w:themeColor="text1"/>
          <w:sz w:val="20"/>
          <w:szCs w:val="20"/>
        </w:rPr>
        <w:t>wykonawca zobowiązany jest do nieodpłatnego usunięcia przyczyn i skutków awarii w terminie do 24h od momentu otrzymania zgłosze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>nia o tym fakcie.</w:t>
      </w:r>
      <w:bookmarkStart w:id="3" w:name="_Hlk88992470"/>
      <w:bookmarkEnd w:id="3"/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41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Aktualizacje muszą zapewnić: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utrzymanie Oprogramowania Aplikacyjnego w wersji polskojęzycznej z pełną dokumentacją w języku polskim pozwalającą na samodzielną naukę obsługi każdego modułu;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zabezpieczenia przed nieautoryzowanym dostępem;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>monitorowanie wsz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ystkich zdarzeń związanych z eksploatacją Oprogramowania Aplikacyjnego, przechowując informacje o użytkowniku obsługującym zdarzenie;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40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stabilność w zakresie funkcjonalno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>-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technicznym konfigurowalnych indywidualnie elementów Oprogramowania Aplikacyjnego po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przeprowadzeniu aktualizacji.  </w:t>
      </w:r>
    </w:p>
    <w:p>
      <w:pPr>
        <w:pStyle w:val="Normal"/>
        <w:widowControl/>
        <w:numPr>
          <w:ilvl w:val="1"/>
          <w:numId w:val="1"/>
        </w:numPr>
        <w:suppressAutoHyphens w:val="false"/>
        <w:spacing w:lineRule="auto" w:line="276" w:before="0" w:after="155"/>
        <w:ind w:left="737" w:hanging="36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>Gwarancja zg</w:t>
      </w:r>
      <w:r>
        <w:rPr>
          <w:rFonts w:cs="Segoe UI Light" w:ascii="Arial" w:hAnsi="Arial"/>
          <w:color w:val="000000" w:themeColor="text1"/>
          <w:sz w:val="20"/>
          <w:szCs w:val="20"/>
        </w:rPr>
        <w:t>odności z aktualnym stanem prawnym oraz wytycznymi organizacyjno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-technologicznymi dla </w:t>
      </w:r>
      <w:r>
        <w:rPr>
          <w:rFonts w:cs="Segoe UI Light" w:ascii="Arial" w:hAnsi="Arial"/>
          <w:color w:val="000000" w:themeColor="text1"/>
          <w:sz w:val="20"/>
          <w:szCs w:val="20"/>
        </w:rPr>
        <w:t>systemów informatycznych funkcjonujących w jednostkach szpitalnych.</w:t>
      </w:r>
      <w:bookmarkEnd w:id="0"/>
      <w:r>
        <w:rPr>
          <w:rFonts w:cs="Segoe UI Light" w:ascii="Arial" w:hAnsi="Arial"/>
          <w:color w:val="000000" w:themeColor="text1"/>
          <w:sz w:val="20"/>
          <w:szCs w:val="20"/>
        </w:rPr>
        <w:t xml:space="preserve">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spacing w:lineRule="auto" w:line="276"/>
        <w:ind w:right="849" w:hanging="0"/>
        <w:jc w:val="both"/>
        <w:rPr>
          <w:rFonts w:ascii="Arial" w:hAnsi="Arial" w:cs="Segoe UI Light"/>
          <w:color w:val="000000" w:themeColor="text1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</w:r>
    </w:p>
    <w:tbl>
      <w:tblPr>
        <w:tblStyle w:val="Tabelasiatki1jasn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4"/>
        <w:gridCol w:w="2100"/>
        <w:gridCol w:w="1986"/>
        <w:gridCol w:w="4914"/>
        <w:gridCol w:w="12"/>
      </w:tblGrid>
      <w:tr>
        <w:trPr>
          <w:trHeight w:val="2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144" w:hanging="0"/>
              <w:jc w:val="center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2100" w:type="dxa"/>
            <w:tcBorders>
              <w:bottom w:val="single" w:sz="12" w:space="0" w:color="666666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Rodzaj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świadczonych usług</w:t>
            </w:r>
          </w:p>
        </w:tc>
        <w:tc>
          <w:tcPr>
            <w:tcW w:w="1986" w:type="dxa"/>
            <w:tcBorders>
              <w:bottom w:val="single" w:sz="12" w:space="0" w:color="666666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right="26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Warunki  świadczenia usług</w:t>
            </w:r>
          </w:p>
        </w:tc>
        <w:tc>
          <w:tcPr>
            <w:tcW w:w="4926" w:type="dxa"/>
            <w:gridSpan w:val="2"/>
            <w:tcBorders>
              <w:bottom w:val="single" w:sz="12" w:space="0" w:color="666666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Czas wykonania zlecenia serwisowego</w:t>
            </w:r>
          </w:p>
        </w:tc>
      </w:tr>
      <w:tr>
        <w:trPr>
          <w:trHeight w:val="20" w:hRule="atLeast"/>
        </w:trPr>
        <w:tc>
          <w:tcPr>
            <w:tcW w:w="73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 xml:space="preserve">1 </w:t>
            </w:r>
          </w:p>
        </w:tc>
        <w:tc>
          <w:tcPr>
            <w:tcW w:w="210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Dostęp do nowych wersji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 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115" w:right="123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realizacji pojedynczej zmiany  - do 14 dni </w:t>
            </w:r>
          </w:p>
        </w:tc>
        <w:tc>
          <w:tcPr>
            <w:tcW w:w="4926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22"/>
              <w:ind w:right="149" w:hang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liczony w dniach roboczych, pozwalający Wykonawcy na dostosowanie i udostępnienie Upgrade Autora oprogramowania do funkcjonalności istniejącego u Zamawiającego systemu.  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liczony od dnia ogłoszenia znowelizowanych przepisów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prawnych.    </w:t>
            </w:r>
          </w:p>
          <w:p>
            <w:pPr>
              <w:pStyle w:val="Normal"/>
              <w:widowControl w:val="false"/>
              <w:spacing w:lineRule="auto" w:line="276" w:before="0" w:after="0"/>
              <w:ind w:right="150" w:hang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Uwaga! w </w:t>
            </w: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przypadku zaistnienia okoliczności niezależnych od Wykonawcy, zmiany będące efektem nowelizacji przepisów prawnych, muszą zostać udostępnione Zamawiającemu i wprowadzone najpóźniej na pięć dni robocze przed wejściem w życie aktu prawnego; w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przypadku, gdy </w:t>
            </w: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termin ukazania się ustaw lub przepisów wykonawczych byłby krótszy niż 30 dni przed datą ich wejścia w życie Wykonawca określi w narzędziu HD termin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dostarczenia i wprowadzenia Uaktualnienia zgodny z </w:t>
            </w: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możliwościami realizacji, nie dłuższy jednak niż 14 dni o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d </w:t>
            </w: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daty ukazania się ustaw i przepisów wykonawczych.  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73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 xml:space="preserve">2 </w:t>
            </w:r>
          </w:p>
        </w:tc>
        <w:tc>
          <w:tcPr>
            <w:tcW w:w="210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Gwarancja  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115" w:right="236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wykonania  - do 10 dni od daty </w:t>
            </w: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ukazania się nowej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wersji systemu  </w:t>
            </w:r>
          </w:p>
        </w:tc>
        <w:tc>
          <w:tcPr>
            <w:tcW w:w="491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30" w:hang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liczony w dniach kalendarzowych od upływu czasu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 reakcji serwisu  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sz w:val="20"/>
                <w:szCs w:val="20"/>
                <w:lang w:val="pl-PL" w:bidi="ar-SA"/>
              </w:rPr>
            </w:pPr>
            <w:r>
              <w:rPr>
                <w:rFonts w:cs="Times New Roman" w:ascii="Arial" w:hAnsi="Arial"/>
                <w:sz w:val="20"/>
                <w:szCs w:val="20"/>
                <w:lang w:val="pl-PL" w:bidi="ar-SA"/>
              </w:rPr>
            </w:r>
          </w:p>
        </w:tc>
      </w:tr>
      <w:tr>
        <w:trPr>
          <w:trHeight w:val="20" w:hRule="atLeast"/>
        </w:trPr>
        <w:tc>
          <w:tcPr>
            <w:tcW w:w="73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3</w:t>
            </w:r>
          </w:p>
        </w:tc>
        <w:tc>
          <w:tcPr>
            <w:tcW w:w="2100" w:type="dxa"/>
            <w:tcBorders/>
          </w:tcPr>
          <w:p>
            <w:pPr>
              <w:pStyle w:val="Normal"/>
              <w:widowControl w:val="false"/>
              <w:spacing w:lineRule="auto" w:line="276" w:before="0" w:after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Awaria  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Czas usunięcia awarii po aktualizacji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115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usunięcia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– do 24 godz.</w:t>
            </w:r>
          </w:p>
        </w:tc>
        <w:tc>
          <w:tcPr>
            <w:tcW w:w="491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liczony w godzinach pracy serwisu w dniach roboczych od </w:t>
            </w: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upływu czasu reakcji serwisu Wykonawcy do momentu usunięcia awarii.  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 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sz w:val="20"/>
                <w:szCs w:val="20"/>
                <w:lang w:val="pl-PL" w:bidi="ar-SA"/>
              </w:rPr>
            </w:pPr>
            <w:r>
              <w:rPr>
                <w:rFonts w:cs="Times New Roman" w:ascii="Arial" w:hAnsi="Arial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Segoe UI Light"/>
          <w:color w:val="000000" w:themeColor="text1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</w:r>
    </w:p>
    <w:p>
      <w:pPr>
        <w:pStyle w:val="Nagwek1"/>
        <w:tabs>
          <w:tab w:val="clear" w:pos="708"/>
          <w:tab w:val="left" w:pos="720" w:leader="none"/>
        </w:tabs>
        <w:spacing w:lineRule="auto" w:line="276" w:before="0" w:after="0"/>
        <w:ind w:left="228" w:hanging="226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>Dostęp do nowych wersji</w:t>
      </w:r>
      <w:r>
        <w:rPr>
          <w:rFonts w:cs="Segoe UI Light" w:ascii="Arial" w:hAnsi="Arial"/>
          <w:sz w:val="20"/>
          <w:szCs w:val="20"/>
        </w:rPr>
        <w:t xml:space="preserve">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>Oprogramowania Aplikacyjnego: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 ramach usługi Dostępu do nowych wersji </w:t>
      </w:r>
      <w:bookmarkStart w:id="4" w:name="_Hlk123563886"/>
      <w:r>
        <w:rPr>
          <w:rFonts w:cs="Segoe UI Light" w:ascii="Arial" w:hAnsi="Arial"/>
          <w:color w:val="000000" w:themeColor="text1"/>
          <w:sz w:val="20"/>
          <w:szCs w:val="20"/>
        </w:rPr>
        <w:t>świadczone będą przez Wykonawcę usługi zapewniające poprawę jakości oprogramowania i jego dostosowanie do zmian czynników wewnętrznych i zewnętrznych (np. nowelizacja uwarunkowań prawnych)</w:t>
      </w:r>
      <w:bookmarkEnd w:id="4"/>
      <w:r>
        <w:rPr>
          <w:rFonts w:cs="Segoe UI Light" w:ascii="Arial" w:hAnsi="Arial"/>
          <w:color w:val="000000" w:themeColor="text1"/>
          <w:sz w:val="20"/>
          <w:szCs w:val="20"/>
        </w:rPr>
        <w:t xml:space="preserve">, a w szczególności wykonywane będą następujące czynności: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uto" w:line="276" w:before="0" w:after="40"/>
        <w:ind w:left="943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prowadzenie rejestru zgłoszeń serwisowych Zamawiającego,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lineRule="auto" w:line="276" w:before="0" w:after="40"/>
        <w:ind w:left="943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wprowadzanie do oprogramowania nowych funkcjonalności oraz usprawnianie funkcjonalności już istniejących, o ile wynikają one z aktualizacji bądź wprowadzenia nowej wersji oprogramowania przez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>prod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ucenta oprogramowania, a w szczególności: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lineRule="auto" w:line="276" w:before="0" w:after="40"/>
        <w:ind w:left="1303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dostosowanie oprogramowania do zmian obowiązujących aktów prawnych lub nowych aktów prawnych powszechnie obowiązujących,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lineRule="auto" w:line="276" w:before="0" w:after="11"/>
        <w:ind w:left="1303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wprowadzanie do oprogramowania zmian wymaganych przez instytucje, w stosunku do których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Zamawiający ma obowiązek prowadzenia sprawozdawczości.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Warunki realizowania usługi: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4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Wszelkie zmiany w oprogramowaniu, o których mowa w pkt 1. ppkt 2), powinny być udostępnione przez Wykonawcę Zamawiającemu nie później niż 14 dni przed wejściem w życie przy założeniu, że zostały ogłoszone najpóźniej 30 dni przed wejściem w życie. W pozostałych sytuacjach, mających wpływ na zapewnienie ciągłości funkcjonowania Szpitala w terminie możliwie najszybszym, jednak nie dłuższym niż 14 dni,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lub  w przypadku z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aistnienia okoliczności niezależnych od Wykonawcy, zmiany będące efektem nowelizacji przepisów prawnych, muszą zostać udostępnione Zamawiającemu i wprowadzone najpóźniej na pięć dni roboczych przed wejściem w życie aktu prawnego; w przypadku, gdy termin ukazania się ustaw lub przepisów wykonawczych byłby krótszy niż 30 dni przed datą ich wejścia w życie Wykonawca określi w narzędziu HD termin dostarczenia i wprowadzenia Uaktualnienia zgodny z możliwościami realizacji, nie dłuższy jednak niż 14 dni od daty ukazania się ustaw i przepisów wykonawczych.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4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Zmiany oprogramowania niewynikające z pkt 1), Wykonawca udostępnia Zamawiającemu niezwłocznie. Zamawiający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- </w:t>
      </w:r>
      <w:r>
        <w:rPr>
          <w:rFonts w:cs="Segoe UI Light" w:ascii="Arial" w:hAnsi="Arial"/>
          <w:color w:val="000000" w:themeColor="text1"/>
          <w:sz w:val="20"/>
          <w:szCs w:val="20"/>
        </w:rPr>
        <w:t>o ile nie istnieją obiektywne okoliczności podważające zasadność instalacji udostępnionych zmian Oprogr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amowania - 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winien je pobrać i niezwłocznie zainstalować.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76" w:before="0" w:after="4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Wprowadzanie przez Wykonawcę zmian w oprogramowaniu, o których mowa w pkt 1), powinno zakończyć się udostępnieniem Zamawiającemu Upgrade lub Update oprogramowania wraz ze szczegółowym opisem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zmian 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oraz z instrukcjami opisującymi zasady użytkowania nowych funkcjonalności.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76" w:before="0" w:after="4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Wykonawca gwarantuje pełną zgodność oprogramowania z aktualnym stanem prawnym obowiązującym w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Polsce.    </w:t>
      </w:r>
    </w:p>
    <w:p>
      <w:pPr>
        <w:pStyle w:val="Normal"/>
        <w:spacing w:lineRule="auto" w:line="276"/>
        <w:jc w:val="both"/>
        <w:rPr>
          <w:rFonts w:ascii="Arial" w:hAnsi="Arial" w:cs="Segoe UI Light"/>
          <w:b/>
          <w:b/>
          <w:bCs/>
          <w:color w:val="000000" w:themeColor="text1"/>
          <w:sz w:val="20"/>
          <w:szCs w:val="20"/>
        </w:rPr>
      </w:pPr>
      <w:r>
        <w:rPr>
          <w:rFonts w:cs="Segoe UI Light" w:ascii="Arial" w:hAnsi="Arial"/>
          <w:b/>
          <w:bCs/>
          <w:color w:val="000000" w:themeColor="text1"/>
          <w:sz w:val="20"/>
          <w:szCs w:val="20"/>
        </w:rPr>
      </w:r>
    </w:p>
    <w:p>
      <w:pPr>
        <w:pStyle w:val="ListParagraph"/>
        <w:numPr>
          <w:ilvl w:val="0"/>
          <w:numId w:val="20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b/>
          <w:bCs/>
          <w:color w:val="000000" w:themeColor="text1"/>
          <w:sz w:val="20"/>
          <w:szCs w:val="20"/>
        </w:rPr>
        <w:t>ŚWIADCZENIE USŁUGI OPIEKI SERWISOWEJ OPROGRAMOWANIA APLIKACYJNEGO</w:t>
      </w:r>
    </w:p>
    <w:p>
      <w:pPr>
        <w:pStyle w:val="Normal"/>
        <w:spacing w:lineRule="auto" w:line="276"/>
        <w:ind w:right="849" w:hanging="0"/>
        <w:jc w:val="both"/>
        <w:rPr>
          <w:rFonts w:ascii="Arial" w:hAnsi="Arial" w:eastAsia="Calibri" w:cs="Segoe UI Light"/>
          <w:b/>
          <w:b/>
          <w:color w:val="000000" w:themeColor="text1"/>
          <w:sz w:val="20"/>
          <w:szCs w:val="20"/>
        </w:rPr>
      </w:pP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b/>
          <w:bCs/>
          <w:color w:val="000000" w:themeColor="text1"/>
          <w:sz w:val="20"/>
          <w:szCs w:val="20"/>
        </w:rPr>
        <w:t>HELPDESK</w:t>
      </w:r>
    </w:p>
    <w:p>
      <w:pPr>
        <w:pStyle w:val="ListParagraph"/>
        <w:numPr>
          <w:ilvl w:val="0"/>
          <w:numId w:val="6"/>
        </w:numPr>
        <w:spacing w:lineRule="auto" w:line="276" w:before="120" w:after="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Zamawiający wymaga od Wykonawcy elektronicznego narzędzia do rejestracji i ewidencji zgłoszeń serwisowych – „Help Desk” (HD) dla każdej z posiadanych przez Zamawiającego Aplikacji.</w:t>
      </w:r>
      <w:r>
        <w:rPr>
          <w:rFonts w:cs="Segoe UI Light" w:ascii="Arial" w:hAnsi="Arial"/>
          <w:b/>
          <w:color w:val="000000" w:themeColor="text1"/>
          <w:sz w:val="20"/>
          <w:szCs w:val="20"/>
        </w:rPr>
        <w:t xml:space="preserve"> </w:t>
      </w:r>
      <w:r>
        <w:rPr>
          <w:rFonts w:cs="Segoe UI Light" w:ascii="Arial" w:hAnsi="Arial"/>
          <w:color w:val="000000" w:themeColor="text1"/>
          <w:sz w:val="20"/>
          <w:szCs w:val="20"/>
        </w:rPr>
        <w:t>Wraz z podpisaniem Umowy Zamawiający otrzymuje dane identyfikacyjne (login, hasło) umożliwiające użytkownikom Zamawiającego uwierzytelnienie w narzędziu „Help Desk” zwanym dalej „HD” udostępnionym przez Wykonawcę. Wraz z danymi identyfikacyjnymi użytkownikom zostają przyznane w narzędziu HD odpowiednie uprawnienia adekwatne do pakietu usług subskrybowanych przez Zamawiającego.</w:t>
      </w:r>
    </w:p>
    <w:p>
      <w:pPr>
        <w:pStyle w:val="ListParagraph"/>
        <w:numPr>
          <w:ilvl w:val="0"/>
          <w:numId w:val="6"/>
        </w:numPr>
        <w:spacing w:lineRule="auto" w:line="276" w:before="120" w:after="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Ewidencja i uzupełnianie Zgłoszenia Serwisowego przez Zamawiającego jest realizowane w narzędziu HD. Obsługa przez Serwis Zgłoszenia Serwisowego w zależności od usługi jest realizowana w narzędziu HD lub z wykorzystaniem innych mediów bądź wizyt osobistych, przy czym każdorazowo w HD ewidencjonowany jest status zgłoszenia.</w:t>
      </w:r>
    </w:p>
    <w:p>
      <w:pPr>
        <w:pStyle w:val="ListParagraph"/>
        <w:numPr>
          <w:ilvl w:val="0"/>
          <w:numId w:val="6"/>
        </w:numPr>
        <w:spacing w:lineRule="auto" w:line="276" w:before="120" w:after="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Prace wykonane na rzecz Zamawiającego w ramach opieki serwisowej ewidencjonowane na protokole generowanym automatycznie na podstawie zgłoszeń o statusie „zamknięte” z narzędzia HelpDesk.</w:t>
      </w:r>
    </w:p>
    <w:p>
      <w:pPr>
        <w:pStyle w:val="ListParagraph"/>
        <w:numPr>
          <w:ilvl w:val="0"/>
          <w:numId w:val="6"/>
        </w:numPr>
        <w:spacing w:lineRule="auto" w:line="276" w:before="0" w:after="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Ewidencja Zgłoszenia Serwisowego odbywa się poprzez naniesienie przez użytkownika do narzędzia HD wszystkich niezbędnych dla danego zgłoszenia informacji. Po zaewidencjonowaniu przez użytkownika Zgłoszenia Serwisowego narzędzie HD nadaje mu status „nowe”.</w:t>
      </w:r>
    </w:p>
    <w:p>
      <w:pPr>
        <w:pStyle w:val="ListParagraph"/>
        <w:numPr>
          <w:ilvl w:val="0"/>
          <w:numId w:val="6"/>
        </w:numPr>
        <w:spacing w:lineRule="auto" w:line="276" w:before="0" w:after="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Każde zgłoszenie serwisowe obejmować może wyłącznie jeden temat do rozwiązania. W przypadku, gdy zgłoszenie obejmuje kilka tematów Wykonawca może odrzucić takie zgłoszenie lub rozdzielić je na kilka zgłoszeń.</w:t>
      </w:r>
    </w:p>
    <w:p>
      <w:pPr>
        <w:pStyle w:val="ListParagraph"/>
        <w:numPr>
          <w:ilvl w:val="0"/>
          <w:numId w:val="6"/>
        </w:numPr>
        <w:spacing w:lineRule="auto" w:line="276" w:before="0" w:after="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Po wstępnej weryfikacji kompletności oraz formy Zgłoszenia Serwisowego zostaje ono przypisane do właściwego Konsultanta Serwisu. Jednocześnie, nie później niż w czasie reakcji przewidzianym dla subskrybowanego przez Zamawiającego wariantu warunków pracy serwisu w narzędziu HD zostaje zgłoszeniu nadany unikalny numer oraz status „podjęte”. </w:t>
      </w:r>
    </w:p>
    <w:p>
      <w:pPr>
        <w:pStyle w:val="ListParagraph"/>
        <w:numPr>
          <w:ilvl w:val="0"/>
          <w:numId w:val="6"/>
        </w:numPr>
        <w:spacing w:lineRule="auto" w:line="276" w:before="0" w:after="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W przypadku ustąpienia okoliczności, powodujących przesłanie zgłoszenia do narzędzia Help Desk użytkownik może je anulować. Zgłoszenie takie od momentu anulowania nie będzie dalej obsługiwane przez pracowników Wykonawcy.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Dalsza obsługa Zgłoszenia Serwisowego przebiega na zasadach określonych w procedurach realizacji przewidzianych dla poszczególnych usług. W zależności od rodzaju zgłoszenia fazy, obsługi zgłoszenia oraz jego zawartości, zgłoszenie przyjmie jeden z następujących statusów (zamawiający dopuszcza użycie innego nazewnictwa): </w:t>
      </w:r>
    </w:p>
    <w:p>
      <w:pPr>
        <w:pStyle w:val="Normal"/>
        <w:widowControl/>
        <w:numPr>
          <w:ilvl w:val="1"/>
          <w:numId w:val="24"/>
        </w:numPr>
        <w:suppressAutoHyphens w:val="false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nowe, </w:t>
      </w:r>
    </w:p>
    <w:p>
      <w:pPr>
        <w:pStyle w:val="Normal"/>
        <w:widowControl/>
        <w:numPr>
          <w:ilvl w:val="1"/>
          <w:numId w:val="25"/>
        </w:numPr>
        <w:suppressAutoHyphens w:val="false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podjęte, </w:t>
      </w:r>
    </w:p>
    <w:p>
      <w:pPr>
        <w:pStyle w:val="Normal"/>
        <w:widowControl/>
        <w:numPr>
          <w:ilvl w:val="1"/>
          <w:numId w:val="25"/>
        </w:numPr>
        <w:suppressAutoHyphens w:val="false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aktywne, </w:t>
      </w:r>
    </w:p>
    <w:p>
      <w:pPr>
        <w:pStyle w:val="Normal"/>
        <w:widowControl/>
        <w:numPr>
          <w:ilvl w:val="1"/>
          <w:numId w:val="25"/>
        </w:numPr>
        <w:suppressAutoHyphens w:val="false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odrzucone, </w:t>
      </w:r>
    </w:p>
    <w:p>
      <w:pPr>
        <w:pStyle w:val="Normal"/>
        <w:widowControl/>
        <w:numPr>
          <w:ilvl w:val="1"/>
          <w:numId w:val="25"/>
        </w:numPr>
        <w:suppressAutoHyphens w:val="false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zrealizowane, </w:t>
      </w:r>
    </w:p>
    <w:p>
      <w:pPr>
        <w:pStyle w:val="Normal"/>
        <w:widowControl/>
        <w:numPr>
          <w:ilvl w:val="1"/>
          <w:numId w:val="25"/>
        </w:numPr>
        <w:suppressAutoHyphens w:val="false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zamknięte.</w:t>
      </w:r>
    </w:p>
    <w:p>
      <w:pPr>
        <w:pStyle w:val="Normal"/>
        <w:spacing w:lineRule="auto" w:line="276"/>
        <w:jc w:val="both"/>
        <w:rPr>
          <w:rFonts w:ascii="Arial" w:hAnsi="Arial" w:cs="Segoe UI Light"/>
          <w:b/>
          <w:b/>
          <w:bCs/>
          <w:color w:val="000000" w:themeColor="text1"/>
          <w:sz w:val="20"/>
          <w:szCs w:val="20"/>
        </w:rPr>
      </w:pPr>
      <w:r>
        <w:rPr>
          <w:rFonts w:cs="Segoe UI Light" w:ascii="Arial" w:hAnsi="Arial"/>
          <w:b/>
          <w:bCs/>
          <w:color w:val="000000" w:themeColor="text1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cs="Segoe UI Light"/>
          <w:b/>
          <w:b/>
          <w:bCs/>
          <w:color w:val="000000" w:themeColor="text1"/>
        </w:rPr>
      </w:pPr>
      <w:r>
        <w:rPr>
          <w:rFonts w:cs="Segoe UI Light"/>
          <w:b/>
          <w:bCs/>
          <w:color w:val="000000" w:themeColor="text1"/>
        </w:rPr>
      </w:r>
    </w:p>
    <w:p>
      <w:pPr>
        <w:pStyle w:val="Normal"/>
        <w:spacing w:lineRule="auto" w:line="276"/>
        <w:jc w:val="both"/>
        <w:rPr>
          <w:rFonts w:cs="Segoe UI Light"/>
          <w:b/>
          <w:b/>
          <w:bCs/>
          <w:color w:val="000000" w:themeColor="text1"/>
        </w:rPr>
      </w:pPr>
      <w:r>
        <w:rPr>
          <w:rFonts w:cs="Segoe UI Light"/>
          <w:b/>
          <w:bCs/>
          <w:color w:val="000000" w:themeColor="text1"/>
        </w:rPr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b/>
          <w:bCs/>
          <w:color w:val="000000" w:themeColor="text1"/>
          <w:sz w:val="20"/>
          <w:szCs w:val="20"/>
        </w:rPr>
        <w:t>S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>pecyfikacja usług serwisowych oraz szczegółowe zasady ich realizacji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/>
        <w:ind w:left="41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Serwis w narzędziu „Help Desk” (zwany również HD), oznacza, że ewidencja i uzupełnianie zgłoszenia serwisowego przez Zamawiającego jest realizowane wyłącznie w narzędziu HD, a obsługa przez serwis zgłoszenia serwisowego jest realizowana w narzędziu HD lub w przypadku braku dostępności narzędzia HD z wykorzystaniem innych mediów bądź wizyt osobistych, przy czym każdorazowo w HD ewidencjonowany jest status zgłoszenia.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/>
        <w:ind w:left="41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Zamawiający otrzyma dane identyfikacyjne (login, hasło) umożliwiające Użytkownikom Zamawiającego uwierzytelnienie w narzędziu „H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>elp Desk</w:t>
      </w:r>
      <w:r>
        <w:rPr>
          <w:rFonts w:cs="Segoe UI Light" w:ascii="Arial" w:hAnsi="Arial"/>
          <w:color w:val="000000" w:themeColor="text1"/>
          <w:sz w:val="20"/>
          <w:szCs w:val="20"/>
        </w:rPr>
        <w:t>”. Wykonawca jest zobowiązany przyznania poszczególnym Użytkownikom Zamawiającego –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według jego wskazania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- 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prawa do ewidencji lub/i edycji zgłoszeń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serwisowych.  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/>
        <w:ind w:left="417" w:hanging="36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>Wymagane godziny pracy serwisu Wykonawcy: 8.00-</w:t>
      </w:r>
      <w:r>
        <w:rPr>
          <w:rFonts w:cs="Segoe UI Light" w:ascii="Arial" w:hAnsi="Arial"/>
          <w:color w:val="000000" w:themeColor="text1"/>
          <w:sz w:val="20"/>
          <w:szCs w:val="20"/>
        </w:rPr>
        <w:t>16.00  od poniedziałku do piątku w dni robocze (z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wyłączeniem dni ustawowo wolnych od pracy oraz sobót).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/>
        <w:ind w:left="417" w:hanging="36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b w:val="false"/>
          <w:bCs w:val="false"/>
          <w:color w:val="000000" w:themeColor="text1"/>
          <w:sz w:val="20"/>
          <w:szCs w:val="20"/>
        </w:rPr>
        <w:t xml:space="preserve">Wymagany czas reakcji serwisu Wykonawcy </w:t>
      </w:r>
      <w:r>
        <w:rPr>
          <w:rFonts w:cs="Segoe UI Light" w:ascii="Arial" w:hAnsi="Arial"/>
          <w:b w:val="false"/>
          <w:bCs w:val="false"/>
          <w:color w:val="000000" w:themeColor="text1"/>
          <w:sz w:val="20"/>
          <w:szCs w:val="20"/>
        </w:rPr>
        <w:t xml:space="preserve">na zgłoszenie serwisowe do 12 godzin od momentu zaewidencjonowania w narzędziu HD zgłoszenia serwisowego przez Użytkownika Zamawiającego. Zamawiający </w:t>
      </w:r>
      <w:r>
        <w:rPr>
          <w:rFonts w:eastAsia="Calibri" w:cs="Segoe UI Light" w:ascii="Arial" w:hAnsi="Arial"/>
          <w:b w:val="false"/>
          <w:bCs w:val="false"/>
          <w:color w:val="000000" w:themeColor="text1"/>
          <w:sz w:val="20"/>
          <w:szCs w:val="20"/>
        </w:rPr>
        <w:t>wymaga by w czasi</w:t>
      </w:r>
      <w:r>
        <w:rPr>
          <w:rFonts w:cs="Segoe UI Light" w:ascii="Arial" w:hAnsi="Arial"/>
          <w:b w:val="false"/>
          <w:bCs w:val="false"/>
          <w:color w:val="000000" w:themeColor="text1"/>
          <w:sz w:val="20"/>
          <w:szCs w:val="20"/>
        </w:rPr>
        <w:t>e maksymalnym do 12 godzin, o których mowa w zdaniu poprzednim, Wykonawca nadał zgłoszeniu serwisowemu w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 HD status warunkujący jego realizację lub odrzucenie.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 w:before="0" w:after="40"/>
        <w:ind w:left="41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Obsługa zgłoszenia serwisowego przebiegać powinna na zasadach określonych we wskazanych niżej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>procedurach r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ealizacji przewidzianych dla poszczególnych usług lub tożsamego zakresu o innym nazewnictwie: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sz w:val="20"/>
          <w:szCs w:val="20"/>
        </w:rPr>
        <w:t xml:space="preserve">Awaria  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sz w:val="20"/>
          <w:szCs w:val="20"/>
        </w:rPr>
        <w:t xml:space="preserve">Błąd aplikacji   </w:t>
      </w:r>
      <w:r>
        <w:rPr>
          <w:rFonts w:eastAsia="Calibri" w:cs="Segoe UI Light" w:ascii="Arial" w:hAnsi="Arial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sz w:val="20"/>
          <w:szCs w:val="20"/>
        </w:rPr>
        <w:t xml:space="preserve">Konsultacje    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sz w:val="20"/>
          <w:szCs w:val="20"/>
        </w:rPr>
        <w:t>Serwis motoru bazy danych (MBD)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sz w:val="20"/>
          <w:szCs w:val="20"/>
        </w:rPr>
        <w:t>Serwis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sz w:val="20"/>
          <w:szCs w:val="20"/>
        </w:rPr>
        <w:t xml:space="preserve">Usterka programistyczna </w:t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sz w:val="20"/>
          <w:szCs w:val="20"/>
        </w:rPr>
        <w:t xml:space="preserve">Gwarancja  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 w:before="0" w:after="40"/>
        <w:ind w:left="417" w:hanging="36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Zakres usług serwisu Oprogramowania Aplikacyjnego: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18"/>
        </w:numPr>
        <w:suppressAutoHyphens w:val="false"/>
        <w:spacing w:lineRule="auto" w:line="276" w:before="0" w:after="45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>Konsultacje i pomoc serwisowa w zakresie modyfikacji/konfiguracji</w:t>
      </w:r>
    </w:p>
    <w:p>
      <w:pPr>
        <w:pStyle w:val="Normal"/>
        <w:widowControl/>
        <w:numPr>
          <w:ilvl w:val="0"/>
          <w:numId w:val="18"/>
        </w:numPr>
        <w:suppressAutoHyphens w:val="false"/>
        <w:spacing w:lineRule="auto" w:line="276" w:before="0" w:after="45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Pomoc w eksploatacji </w:t>
      </w:r>
    </w:p>
    <w:p>
      <w:pPr>
        <w:pStyle w:val="Normal"/>
        <w:widowControl/>
        <w:numPr>
          <w:ilvl w:val="0"/>
          <w:numId w:val="18"/>
        </w:numPr>
        <w:suppressAutoHyphens w:val="false"/>
        <w:spacing w:lineRule="auto" w:line="276" w:before="0" w:after="4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Działania programistyczne i wdrożeniowe.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18"/>
        </w:numPr>
        <w:suppressAutoHyphens w:val="false"/>
        <w:spacing w:lineRule="auto" w:line="276" w:before="0" w:after="4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Pomoc w administrowaniu Oprogramowaniem Aplikacyjnym i innymi Aplikacjami powiązanymi w sposób pośredni i bezpośredni z Oprogramowaniem Aplikacyjnym m.in. pod kątem funkcjonujących integracji i usług wymi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any danych  </w:t>
      </w:r>
    </w:p>
    <w:p>
      <w:pPr>
        <w:pStyle w:val="Normal"/>
        <w:widowControl/>
        <w:numPr>
          <w:ilvl w:val="0"/>
          <w:numId w:val="18"/>
        </w:numPr>
        <w:suppressAutoHyphens w:val="false"/>
        <w:spacing w:lineRule="auto" w:line="276" w:before="0" w:after="4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Świadczenie serwisu w siedzibie Zamawiającego lub zdalnie za pomocą dostępnych narzędzi dostępu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zdalnego </w:t>
      </w:r>
    </w:p>
    <w:p>
      <w:pPr>
        <w:pStyle w:val="Normal"/>
        <w:widowControl/>
        <w:numPr>
          <w:ilvl w:val="0"/>
          <w:numId w:val="18"/>
        </w:numPr>
        <w:suppressAutoHyphens w:val="false"/>
        <w:spacing w:lineRule="auto" w:line="276" w:before="0" w:after="4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szkolenie administratorów z zakresu wprowadzanych zmian w Oprogramowaniu Aplikacyjnym</w:t>
      </w:r>
    </w:p>
    <w:p>
      <w:pPr>
        <w:pStyle w:val="Normal"/>
        <w:widowControl/>
        <w:numPr>
          <w:ilvl w:val="0"/>
          <w:numId w:val="18"/>
        </w:numPr>
        <w:suppressAutoHyphens w:val="false"/>
        <w:spacing w:lineRule="auto" w:line="276" w:before="0" w:after="4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instalowanie Uaktualnień,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18"/>
        </w:numPr>
        <w:suppressAutoHyphens w:val="false"/>
        <w:spacing w:lineRule="auto" w:line="276" w:before="0" w:after="8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modyfikacja aplikacji, tworzenie nowych raportów oraz modyfikacje istniejących, mające na celu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dostosowanie ich zakresu tematycznego oraz graficznego </w:t>
      </w:r>
      <w:r>
        <w:rPr>
          <w:rFonts w:cs="Segoe UI Light" w:ascii="Arial" w:hAnsi="Arial"/>
          <w:color w:val="000000" w:themeColor="text1"/>
          <w:sz w:val="20"/>
          <w:szCs w:val="20"/>
        </w:rPr>
        <w:t>do potrzeb Zamawiającego, o ile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  <w:r>
        <w:rPr>
          <w:rFonts w:cs="Segoe UI Light" w:ascii="Arial" w:hAnsi="Arial"/>
          <w:color w:val="000000" w:themeColor="text1"/>
          <w:sz w:val="20"/>
          <w:szCs w:val="20"/>
        </w:rPr>
        <w:t>konieczność ich stworzenia wynika ze zmian w przepisach prawa (np. Ustawy, Rozporządzenia MZ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itp.) </w:t>
      </w:r>
      <w:r>
        <w:rPr>
          <w:rFonts w:cs="Segoe UI Light" w:ascii="Arial" w:hAnsi="Arial"/>
          <w:color w:val="000000" w:themeColor="text1"/>
          <w:sz w:val="20"/>
          <w:szCs w:val="20"/>
        </w:rPr>
        <w:t>obejmujący zakres funkcjonalny Oprogramowania Aplikacyjnego, do którego Zamawiający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nabył prawo na podstawie licencji udzielonej przez Producenta. </w:t>
      </w:r>
      <w:bookmarkStart w:id="5" w:name="_Hlk88992539"/>
      <w:bookmarkEnd w:id="5"/>
    </w:p>
    <w:p>
      <w:pPr>
        <w:pStyle w:val="Normal"/>
        <w:spacing w:lineRule="auto" w:line="276" w:before="0" w:after="34"/>
        <w:ind w:right="165" w:hanging="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  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ab/>
        <w:t xml:space="preserve"> </w:t>
      </w:r>
    </w:p>
    <w:p>
      <w:pPr>
        <w:pStyle w:val="Normal"/>
        <w:spacing w:lineRule="auto" w:line="276" w:before="0" w:after="34"/>
        <w:ind w:right="165" w:hanging="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Zasady świadczenia usług – tabela skrócona: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 </w:t>
      </w:r>
    </w:p>
    <w:tbl>
      <w:tblPr>
        <w:tblStyle w:val="Tabelasiatki1jasna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"/>
        <w:gridCol w:w="2104"/>
        <w:gridCol w:w="2140"/>
        <w:gridCol w:w="47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44" w:hanging="0"/>
              <w:jc w:val="center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 xml:space="preserve">      </w:t>
            </w: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2104" w:type="dxa"/>
            <w:tcBorders>
              <w:bottom w:val="single" w:sz="12" w:space="0" w:color="666666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Rodzaj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świadczonych usług</w:t>
            </w:r>
          </w:p>
        </w:tc>
        <w:tc>
          <w:tcPr>
            <w:tcW w:w="2140" w:type="dxa"/>
            <w:tcBorders>
              <w:bottom w:val="single" w:sz="12" w:space="0" w:color="666666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right="26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Warunki</w:t>
            </w:r>
          </w:p>
          <w:p>
            <w:pPr>
              <w:pStyle w:val="Normal"/>
              <w:widowControl w:val="false"/>
              <w:spacing w:lineRule="auto" w:line="276" w:before="0" w:after="0"/>
              <w:ind w:right="26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świadczenia usług</w:t>
            </w:r>
          </w:p>
        </w:tc>
        <w:tc>
          <w:tcPr>
            <w:tcW w:w="4785" w:type="dxa"/>
            <w:tcBorders>
              <w:bottom w:val="single" w:sz="12" w:space="0" w:color="666666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Czas wykonania zlecenia serwisowego</w:t>
            </w:r>
          </w:p>
        </w:tc>
      </w:tr>
      <w:tr>
        <w:trPr/>
        <w:tc>
          <w:tcPr>
            <w:tcW w:w="6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1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Błąd Aplikacji</w:t>
            </w:r>
          </w:p>
        </w:tc>
        <w:tc>
          <w:tcPr>
            <w:tcW w:w="214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czas usunięcia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do 7 dni roboczych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Czas liczony w dniach roboczych od upływu czasu reakcji serwisu Wykonawcy do momentu usunięcia błędu aplikacji.</w:t>
            </w:r>
          </w:p>
        </w:tc>
      </w:tr>
      <w:tr>
        <w:trPr/>
        <w:tc>
          <w:tcPr>
            <w:tcW w:w="6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2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Segoe UI Light"/>
                <w:color w:val="000000" w:themeColor="text1"/>
                <w:sz w:val="20"/>
                <w:szCs w:val="20"/>
                <w:shd w:fill="auto" w:val="clear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shd w:fill="auto" w:val="clear"/>
                <w:lang w:val="pl-PL" w:bidi="ar-SA"/>
              </w:rPr>
              <w:t xml:space="preserve">Awaria  </w:t>
            </w:r>
          </w:p>
          <w:p>
            <w:pPr>
              <w:pStyle w:val="Normal"/>
              <w:widowControl w:val="false"/>
              <w:spacing w:lineRule="auto" w:line="276" w:before="0" w:after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 w:themeColor="text1"/>
                <w:sz w:val="20"/>
                <w:szCs w:val="20"/>
                <w:shd w:fill="auto" w:val="clear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shd w:fill="auto" w:val="clear"/>
                <w:lang w:val="pl-PL" w:bidi="ar-SA"/>
              </w:rPr>
              <w:t>(błąd krytyczny)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tcW w:w="214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 w:themeColor="text1"/>
                <w:sz w:val="20"/>
                <w:szCs w:val="20"/>
                <w:shd w:fill="auto" w:val="clear"/>
              </w:rPr>
            </w:pPr>
            <w:r>
              <w:rPr>
                <w:rFonts w:eastAsia="Calibri" w:cs="Segoe UI Light" w:ascii="Arial" w:hAnsi="Arial"/>
                <w:i/>
                <w:color w:val="000000" w:themeColor="text1"/>
                <w:sz w:val="20"/>
                <w:szCs w:val="20"/>
                <w:shd w:fill="auto" w:val="clear"/>
                <w:lang w:val="pl-PL" w:bidi="ar-SA"/>
              </w:rPr>
              <w:t>Czas usunięcia awarii do 96 h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liczony w godzinach pracy serwisu w dniach roboczych od </w:t>
            </w: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upływu czasu reakcji serwisu Wykonawcy do momentu usunięcia awarii.</w:t>
            </w:r>
          </w:p>
        </w:tc>
      </w:tr>
      <w:tr>
        <w:trPr/>
        <w:tc>
          <w:tcPr>
            <w:tcW w:w="6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3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Konsultacja</w:t>
            </w:r>
          </w:p>
        </w:tc>
        <w:tc>
          <w:tcPr>
            <w:tcW w:w="214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czas wykonania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do 10 dni roboczych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liczony w dniach roboczych od upływu czasu reakcji 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 serwisu Wykonawcy</w:t>
            </w:r>
            <w:r>
              <w:rPr>
                <w:rFonts w:eastAsia="Calibri" w:cs="Segoe UI Light" w:ascii="Arial" w:hAnsi="Arial"/>
                <w:i/>
                <w:color w:val="000000" w:themeColor="text1"/>
                <w:sz w:val="20"/>
                <w:szCs w:val="20"/>
                <w:lang w:val="pl-PL" w:bidi="ar-SA"/>
              </w:rPr>
              <w:t>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Usługa świadczona w czasie dostępu Użytkownika Zamawiającego do Serwisu Wykonawcy.</w:t>
            </w:r>
          </w:p>
        </w:tc>
      </w:tr>
      <w:tr>
        <w:trPr/>
        <w:tc>
          <w:tcPr>
            <w:tcW w:w="6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5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Serwis motoru bazy danych (MBD)</w:t>
            </w:r>
          </w:p>
        </w:tc>
        <w:tc>
          <w:tcPr>
            <w:tcW w:w="214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czas wykonania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do 10 dni roboczych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Świadczony w czasie dostępu Zamawiającego do serwisu Wykonawcy; 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liczony w dniach roboczych od upływu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czasu reakcji serwisu</w:t>
            </w:r>
          </w:p>
        </w:tc>
      </w:tr>
      <w:tr>
        <w:trPr>
          <w:trHeight w:val="555" w:hRule="atLeast"/>
        </w:trPr>
        <w:tc>
          <w:tcPr>
            <w:tcW w:w="6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6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usługi serwisowe</w:t>
            </w:r>
          </w:p>
        </w:tc>
        <w:tc>
          <w:tcPr>
            <w:tcW w:w="214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limit do 360 godzin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liczony w godzinach, usługa do wyczerpania określonego limitu czasowego w trakcie obowiązywania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umowy.</w:t>
            </w:r>
          </w:p>
        </w:tc>
      </w:tr>
      <w:tr>
        <w:trPr/>
        <w:tc>
          <w:tcPr>
            <w:tcW w:w="6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b/>
                <w:bCs/>
                <w:color w:val="000000" w:themeColor="text1"/>
                <w:sz w:val="20"/>
                <w:szCs w:val="20"/>
                <w:lang w:val="pl-PL" w:bidi="ar-SA"/>
              </w:rPr>
              <w:t>7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Usterka Programistyczna</w:t>
            </w:r>
          </w:p>
        </w:tc>
        <w:tc>
          <w:tcPr>
            <w:tcW w:w="214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48" w:hanging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czas wykonania  - max.30 dni kalendarzowych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 xml:space="preserve">Czas liczony w dniach kalendarzowych od upływu czasu </w:t>
            </w:r>
            <w:r>
              <w:rPr>
                <w:rFonts w:eastAsia="Calibri" w:cs="Segoe UI Light" w:ascii="Arial" w:hAnsi="Arial"/>
                <w:color w:val="000000" w:themeColor="text1"/>
                <w:sz w:val="20"/>
                <w:szCs w:val="20"/>
                <w:lang w:val="pl-PL" w:bidi="ar-SA"/>
              </w:rPr>
              <w:t>reakcji serwisu</w:t>
            </w:r>
          </w:p>
        </w:tc>
      </w:tr>
    </w:tbl>
    <w:p>
      <w:pPr>
        <w:pStyle w:val="Normal"/>
        <w:spacing w:lineRule="auto" w:line="276" w:before="0" w:after="16"/>
        <w:ind w:left="2" w:hanging="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>Przez  Dzień Roboczy - należy przez to rozumieć każdy dzień od poniedziałku do piątku z wyłączeniem sobót, świąt i dni ustawowo wolnych od pracy;</w:t>
      </w:r>
    </w:p>
    <w:p>
      <w:pPr>
        <w:pStyle w:val="Normal"/>
        <w:spacing w:lineRule="auto" w:line="276" w:before="0" w:after="8"/>
        <w:ind w:left="12" w:hanging="1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Czas reakcji serwisu liczony jest w godzinach liczony od chwili zaewidencjonowania zgłoszenia serwisowego w narzędziu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  <w:r>
        <w:rPr>
          <w:rFonts w:cs="Segoe UI Light" w:ascii="Arial" w:hAnsi="Arial"/>
          <w:color w:val="000000" w:themeColor="text1"/>
          <w:sz w:val="20"/>
          <w:szCs w:val="20"/>
        </w:rPr>
        <w:t>HelpDesk do momentu przyjęcia lub odebrania zgłoszenia tj. nadania mu statusu „nowe” w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godzinach pracy serwisu.  </w:t>
      </w:r>
    </w:p>
    <w:p>
      <w:pPr>
        <w:pStyle w:val="Normal"/>
        <w:spacing w:lineRule="auto" w:line="276" w:before="0" w:after="38"/>
        <w:ind w:left="17" w:hanging="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spacing w:lineRule="auto" w:line="276" w:before="0" w:after="4"/>
        <w:ind w:left="27" w:right="1015" w:hanging="1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>Szczegółowy zakres oraz warunki realizacji usług: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  </w:t>
      </w:r>
    </w:p>
    <w:p>
      <w:pPr>
        <w:pStyle w:val="ListParagraph"/>
        <w:numPr>
          <w:ilvl w:val="0"/>
          <w:numId w:val="19"/>
        </w:numPr>
        <w:spacing w:lineRule="auto" w:line="276" w:before="0" w:after="65"/>
        <w:contextualSpacing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Błąd aplikacji   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uto" w:line="276"/>
        <w:ind w:left="722" w:hanging="360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Czas usunięcia Błędu Aplikacji do maksymalnie 7 dni roboczych liczonych od upływu czasu reakcji serwisu Wykonawcy na zgłoszenie serwisowe do dnia usunięcia Błędu Aplikacji i wykonania przez Wykonawcę testu poprawnego działania Aplikacji, zaakceptowanego przez Zamawiającego.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uto" w:line="276"/>
        <w:ind w:left="722" w:hanging="360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Po usunięciu Błędu Aplikacji i wykonaniu testu poprawnego działania Aplikacji, zaakceptowanego przez Zamawiającego, zgłoszenie serwisowe traktowane jest jako zakończone.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right" w:pos="9374" w:leader="none"/>
        </w:tabs>
        <w:spacing w:lineRule="auto" w:line="276" w:before="0" w:after="5"/>
        <w:ind w:left="722" w:hanging="3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Zgłoszenie serwisowe jest ostatecznie zamykane jeżeli upłynęło 7 dni od terminu usunięcia Błędu Aplikacji i </w:t>
      </w:r>
    </w:p>
    <w:p>
      <w:pPr>
        <w:pStyle w:val="ListParagraph"/>
        <w:spacing w:lineRule="auto" w:line="276" w:before="0" w:after="11"/>
        <w:ind w:left="722" w:hanging="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przejścia zgłoszenia w status zrealizowane, a Zamawiający nie wniósł w tym czasie zastrzeżeń do wyniku działań podjętych przez Wykonawcę w celu usunięcia Błędu Aplikacji.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agwek1"/>
        <w:numPr>
          <w:ilvl w:val="0"/>
          <w:numId w:val="19"/>
        </w:numPr>
        <w:spacing w:lineRule="auto" w:line="276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Awaria (błąd krytyczny)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0"/>
        </w:numPr>
        <w:spacing w:lineRule="auto" w:line="276"/>
        <w:rPr/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Czas usunięcia Awarii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– do maksymalnie </w:t>
      </w:r>
      <w:r>
        <w:rPr>
          <w:rFonts w:eastAsia="Cambria" w:cs="Segoe UI Light" w:ascii="Arial" w:hAnsi="Arial"/>
          <w:color w:val="000000" w:themeColor="text1"/>
          <w:kern w:val="0"/>
          <w:sz w:val="20"/>
          <w:szCs w:val="20"/>
          <w:lang w:val="pl-PL" w:eastAsia="pl-PL" w:bidi="ar-SA"/>
        </w:rPr>
        <w:t>96H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godzin od upływu czasu reakcji serwisu Wykonawcy do godziny całkowitego usunięcia Awarii i wykonania przez Wykonawcę testu poprawnego działania Aplikacji, zaakceptowanego przez Zamawiającego.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0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Po usunięciu Awarii i wykonaniu przez Wykonawcę testu poprawnego działania Aplikacji, zaakceptowanego przez Zamawiającego, zgłoszenie serwisowe traktowane jest jako zakończone.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0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Zgłoszenie serwisowe jest ostatecznie zamykane jeżeli upłynęło 7 dni od terminu usunięcia Awarii i przejścia zgłoszenia w status zrealizowane, a Zamawiający nie wniósł w tym czasie zastrzeżeń do wyniku usunięcia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Awarii.  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 </w:t>
      </w:r>
    </w:p>
    <w:p>
      <w:pPr>
        <w:pStyle w:val="Nagwek1"/>
        <w:numPr>
          <w:ilvl w:val="0"/>
          <w:numId w:val="19"/>
        </w:numPr>
        <w:spacing w:lineRule="auto" w:line="276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Konsultacja   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center" w:pos="4006" w:leader="none"/>
        </w:tabs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Przyjęcie zgłoszenia Konsultacji związane jest z podjęciem następujących działań: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2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wskazanie Użytkownikowi w dokumentacji lub materiałach szkoleniowych zapisów, w których znajdują się informacje dotyczące przedmiotu zgłoszenia serwisowego,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2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wskazanie Użytkownikowi miejsca, w którym można powziąć informacje na temat przedmiotu zgłoszenia, jeżeli było ono uprzednio przedmiotem działań serwisowych inicjowanych przez innych Użytkowników, w szczególności do zamieszczonych w narzędziu HD.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2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udzielenie konsultacji i wyjaśnień w kwestiach stanowiących przedmiot zgłoszenia.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1"/>
        </w:numPr>
        <w:spacing w:lineRule="auto" w:line="276" w:before="0" w:after="1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Po uznaniu przez Użytkownika i pracownika serwisu, że jego realizacja dobiegła końca, status zgłoszenia zmienia się na zakończone.  Po upływie 7 dni od terminu, w którym zgłoszenie serwisowe uzyskało status zrealizowane, a Użytkownik nie wniósł do niego zastrzeżeń, zgłoszenie serwisowe jest ostatecznie „zamykane”. 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 </w:t>
      </w:r>
    </w:p>
    <w:p>
      <w:pPr>
        <w:pStyle w:val="Nagwek1"/>
        <w:numPr>
          <w:ilvl w:val="0"/>
          <w:numId w:val="19"/>
        </w:numPr>
        <w:spacing w:lineRule="auto" w:line="276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Zasady serwis Motoru Bazy Danych 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right" w:pos="9374" w:leader="none"/>
        </w:tabs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Naprawa Motoru Bazy Danych może obejmować realizację jednej lub kilku czynności wymienionych poniżej: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7"/>
        </w:numPr>
        <w:spacing w:lineRule="auto" w:line="276" w:before="0" w:after="13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kompilacja obiektów bazy danych,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7"/>
        </w:numPr>
        <w:spacing w:lineRule="auto" w:line="276" w:before="0" w:after="18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przeliczanie statystyk bazy danych,  </w:t>
      </w:r>
    </w:p>
    <w:p>
      <w:pPr>
        <w:pStyle w:val="Normal"/>
        <w:widowControl/>
        <w:numPr>
          <w:ilvl w:val="0"/>
          <w:numId w:val="7"/>
        </w:numPr>
        <w:spacing w:lineRule="auto" w:line="276" w:before="0" w:after="18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dodawania i modyfikacja przestrzeni tabel,  </w:t>
      </w:r>
    </w:p>
    <w:p>
      <w:pPr>
        <w:pStyle w:val="Normal"/>
        <w:widowControl/>
        <w:numPr>
          <w:ilvl w:val="0"/>
          <w:numId w:val="7"/>
        </w:numPr>
        <w:spacing w:lineRule="auto" w:line="276" w:before="0" w:after="13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rekonfiguracja parametrów bazy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danych,    </w:t>
      </w:r>
    </w:p>
    <w:p>
      <w:pPr>
        <w:pStyle w:val="Normal"/>
        <w:widowControl/>
        <w:numPr>
          <w:ilvl w:val="0"/>
          <w:numId w:val="7"/>
        </w:numPr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identyfikacja innych czynności koniecznych do naprawy.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3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eastAsia="Arial" w:cs="Segoe UI Light" w:ascii="Arial" w:hAnsi="Arial"/>
          <w:color w:val="000000" w:themeColor="text1"/>
          <w:sz w:val="20"/>
          <w:szCs w:val="20"/>
        </w:rPr>
        <w:t>P</w:t>
      </w:r>
      <w:r>
        <w:rPr>
          <w:rFonts w:cs="Segoe UI Light" w:ascii="Arial" w:hAnsi="Arial"/>
          <w:color w:val="000000" w:themeColor="text1"/>
          <w:sz w:val="20"/>
          <w:szCs w:val="20"/>
        </w:rPr>
        <w:t>race Wykonawcy dotyczące w/w napraw Motoru Baz Danych oraz wgrywania poprawek, ewentualnych uaktualnień Producenta, konserwacji baz danych testów przywracania z backup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>-</w:t>
      </w:r>
      <w:r>
        <w:rPr>
          <w:rFonts w:cs="Segoe UI Light" w:ascii="Arial" w:hAnsi="Arial"/>
          <w:color w:val="000000" w:themeColor="text1"/>
          <w:sz w:val="20"/>
          <w:szCs w:val="20"/>
        </w:rPr>
        <w:t>u baz danych bę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dzie </w:t>
      </w:r>
      <w:r>
        <w:rPr>
          <w:rFonts w:cs="Segoe UI Light" w:ascii="Arial" w:hAnsi="Arial"/>
          <w:color w:val="000000" w:themeColor="text1"/>
          <w:sz w:val="20"/>
          <w:szCs w:val="20"/>
        </w:rPr>
        <w:t>wykonywane jedynie w przypadku posiadania przez Zamawiającego minimalnych wersji baz danych wymaganych przez Producenta Aplikacji oraz rozliczne w ramach pakietu godzin przeznaczonych na usługi serwisowe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.  </w:t>
      </w:r>
    </w:p>
    <w:p>
      <w:pPr>
        <w:pStyle w:val="ListParagraph"/>
        <w:numPr>
          <w:ilvl w:val="0"/>
          <w:numId w:val="13"/>
        </w:numPr>
        <w:spacing w:lineRule="auto" w:line="276" w:before="0" w:after="1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Zgłoszenie serwisowe jest ostatecznie zamykane, jeżeli upłynęło 7 dni od terminu wykonania usługi i przejścia zgłoszenia w status zrealizowane, a Zamawiający nie wniósł w tym czasie zastrzeżeń do wyniku realizacji usług.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agwek1"/>
        <w:numPr>
          <w:ilvl w:val="0"/>
          <w:numId w:val="19"/>
        </w:numPr>
        <w:spacing w:lineRule="auto" w:line="276" w:before="0" w:after="0"/>
        <w:jc w:val="both"/>
        <w:rPr>
          <w:rFonts w:ascii="Arial" w:hAnsi="Arial"/>
          <w:sz w:val="20"/>
          <w:szCs w:val="20"/>
        </w:rPr>
      </w:pPr>
      <w:r>
        <w:rPr>
          <w:rFonts w:eastAsia="Calibri" w:cs="Segoe UI Light" w:ascii="Arial" w:hAnsi="Arial"/>
          <w:color w:val="000000" w:themeColor="text1"/>
          <w:sz w:val="20"/>
          <w:szCs w:val="20"/>
        </w:rPr>
        <w:t>Usługi serwisowe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4"/>
        </w:numPr>
        <w:spacing w:lineRule="auto" w:line="276" w:before="0" w:after="38"/>
        <w:ind w:left="720" w:right="3959" w:hanging="3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Usługa realizowana będzie przez Wykonawcę poprzez: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5"/>
        </w:numPr>
        <w:spacing w:lineRule="auto" w:line="276" w:before="0" w:after="38"/>
        <w:ind w:left="1080" w:right="3959" w:hanging="3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wizyty serwisowe w siedzibie Zamawiającego,  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5"/>
        </w:numPr>
        <w:spacing w:lineRule="auto" w:line="276" w:before="0" w:after="38"/>
        <w:ind w:left="1080" w:right="3959" w:hanging="36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połączenia zdalne.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4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Wizyty serwisowe realizowane będą przez Wykonawcę w zależności od potrzeb Zamawiającego.  Zapotrzebowanie na wizytę Konsultanta zakłada pobyt Konsultanta nie krócej niż 5 godzin w siedzibie Zamawiającego.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4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Zgłoszenie wizyty serwisowej przez Zamawiającego nastąpi z 7 dniowym wyprzedzeniem. Każde zgłoszenie zawierać będzie szczegółowo zakres prac do wykonania przez Wykonawcę.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4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W sytuacjach szczególnych i uzasadnionych termin wizyty serwisowej może zostać zmieniony za zgodą Zamawiającego, jednakże różnica dni w terminie wizyty nie może przekraczać 5 dni liczonych od wcześniej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ustalonego terminu.  </w:t>
      </w:r>
    </w:p>
    <w:p>
      <w:pPr>
        <w:pStyle w:val="ListParagraph"/>
        <w:numPr>
          <w:ilvl w:val="0"/>
          <w:numId w:val="14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Połączenia zdalne realizowane będą przez Wykonawcę w godzinach pracy Zamawiającego, po wcześniejszym uzgodnieniu terminu, godziny połączenia i rodzaju prac do wykonania z osobami upoważnionymi przez Zamawiającego.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spacing w:lineRule="auto" w:line="276"/>
        <w:ind w:left="720" w:hanging="0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Terminy realizacji usług zdalnych będą obowiązywały wówczas kiedy Zamawiający udostępni połączenie zdalne. W przypadku braku takiego dostępu terminy realizacji usług mogą się przedłużać i tym samym mogą być niedochowane co nie będzie miało odzwierciedlenia w konsekwencjach dochowania terminów realizacji określonych dla Wykonawcy</w:t>
      </w:r>
    </w:p>
    <w:p>
      <w:pPr>
        <w:pStyle w:val="ListParagraph"/>
        <w:numPr>
          <w:ilvl w:val="0"/>
          <w:numId w:val="14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Rozliczenie czasu trwania usługi wykonanej poprzez połączenie zdalne Wykonawca winien przesłać Zamawiającemu w narzędziu HD do akceptacji. Usługa może zostać rozliczona w limicie godzin przeznaczonych na Usługi serwisowe tylko i wyłącznie po pozytywnym wykonaniu prac (osiągnięciu zamierzonego przez Zamawiającego celu i efektu) i zaakceptowaniu rozliczenia czasu trwania usługi.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4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Każdorazowe wykonanie w siedzibie Zamawiającego przez Serwis Wykonawcy zgłoszonych prac zakończone zostanie zarejestrowaniem przez Zamawiającego lub Wykonawcę w HD tych prac, zawierających w szczególności zakres wykonanych prac i liczbę przepracowanych przez Serwis Wykonawcy godzin, a protokół będzie generowany automatycznie na podstawie zgłoszeń o statusie „zamknięte” z narzędzia HelpDesk, który to nie wymaga podpisu ze strony Zamawiającego i Wykonawcy.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center" w:pos="4957" w:leader="none"/>
        </w:tabs>
        <w:spacing w:lineRule="auto" w:line="276"/>
        <w:rPr>
          <w:rFonts w:ascii="Arial" w:hAnsi="Arial"/>
          <w:sz w:val="20"/>
          <w:szCs w:val="20"/>
        </w:rPr>
      </w:pPr>
      <w:r>
        <w:rPr>
          <w:rFonts w:eastAsia="Arial" w:cs="Segoe UI Light" w:ascii="Arial" w:hAnsi="Arial"/>
          <w:color w:val="000000" w:themeColor="text1"/>
          <w:sz w:val="20"/>
          <w:szCs w:val="20"/>
        </w:rPr>
        <w:t>Usługi serwisowe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 wykorzystane  będą przez Zamawiającego do określonego limitu godzinowego.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4"/>
        </w:numPr>
        <w:spacing w:lineRule="auto" w:line="276" w:before="0" w:after="1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Każdorazowy dojazd do siedziby Zamawiającego stanowi równowartość 3 godzin usług serwisowych i umniejsza o tą ilość pakiet godzin serwisowych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 </w:t>
      </w:r>
    </w:p>
    <w:p>
      <w:pPr>
        <w:pStyle w:val="Nagwek1"/>
        <w:numPr>
          <w:ilvl w:val="0"/>
          <w:numId w:val="19"/>
        </w:numPr>
        <w:spacing w:lineRule="auto" w:line="276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Usterka Programistyczna </w:t>
      </w:r>
      <w:r>
        <w:rPr>
          <w:rFonts w:eastAsia="Calibri" w:cs="Segoe UI Light" w:ascii="Arial" w:hAnsi="Arial"/>
          <w:b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6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Czas usunięcia Usterki Programistycznej to maksymalnie do 30 dni kalendarzowych liczonych od upływu czasu reakcji serwisu Wykonawcy na zgłoszenie serwisowe do dnia usunięcia Usterki Programistycznej i wykonania przez Wykonawcę testu poprawnego działania Aplikacji, zaakceptowanego przez Zamawiającego.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6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>Po usunięciu Usterki Programistycznej i wykonaniu testu poprawnego działania Aplikacji, zaakceptowanego przez Zamawiającego, zgłoszenie serwisowe traktowane jest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jako 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zakończone a Usterka Programistyczna uważana jest za rozwiązaną.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6"/>
        </w:numPr>
        <w:spacing w:lineRule="auto" w:line="276" w:before="0" w:after="10"/>
        <w:contextualSpacing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  <w:t xml:space="preserve">Zgłoszenie serwisowe jest ostatecznie zamykane jeżeli upłynęło 7 dni od terminu usunięcia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Usterki Programistycznej i wykonania testu Aplikacji, zaakceptowanego przez </w:t>
      </w:r>
      <w:r>
        <w:rPr>
          <w:rFonts w:cs="Segoe UI Light" w:ascii="Arial" w:hAnsi="Arial"/>
          <w:color w:val="000000" w:themeColor="text1"/>
          <w:sz w:val="20"/>
          <w:szCs w:val="20"/>
        </w:rPr>
        <w:t xml:space="preserve">Zamawiającego, a Zamawiający nie wniósł w tym czasie zastrzeżeń do wyniku działań podjętych przez Wykonawcę w celu usunięcia Usterki Programistycznej. </w:t>
      </w:r>
      <w:r>
        <w:rPr>
          <w:rFonts w:eastAsia="Calibri" w:cs="Segoe UI Light" w:ascii="Arial" w:hAnsi="Arial"/>
          <w:color w:val="000000" w:themeColor="text1"/>
          <w:sz w:val="20"/>
          <w:szCs w:val="20"/>
        </w:rPr>
        <w:t xml:space="preserve"> </w:t>
      </w:r>
    </w:p>
    <w:p>
      <w:pPr>
        <w:pStyle w:val="Normal"/>
        <w:spacing w:lineRule="auto" w:line="276"/>
        <w:ind w:left="-15" w:firstLine="15"/>
        <w:jc w:val="both"/>
        <w:rPr>
          <w:rFonts w:ascii="Arial" w:hAnsi="Arial" w:cs="Segoe UI Light"/>
          <w:b/>
          <w:b/>
          <w:color w:val="000000" w:themeColor="text1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</w:r>
    </w:p>
    <w:p>
      <w:pPr>
        <w:pStyle w:val="ListParagraph"/>
        <w:numPr>
          <w:ilvl w:val="0"/>
          <w:numId w:val="20"/>
        </w:numPr>
        <w:spacing w:lineRule="auto" w:line="276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  <w:t>Wykaz Aplikacji będących przedmiotem świadczenia usług serwisu i dostępu do nowych wersji:</w:t>
      </w:r>
    </w:p>
    <w:tbl>
      <w:tblPr>
        <w:tblStyle w:val="Tabelasiatki1jasn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b/>
                <w:bCs/>
                <w:color w:val="000000"/>
                <w:sz w:val="20"/>
                <w:szCs w:val="20"/>
                <w:lang w:val="pl-PL" w:bidi="ar-SA"/>
              </w:rPr>
              <w:t>SYSTEM INFORMATYCZNY ESKULAP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rial" w:hAnsi="Arial" w:cs="Segoe UI Light"/>
                <w:color w:val="000000"/>
                <w:sz w:val="20"/>
                <w:szCs w:val="20"/>
              </w:rPr>
            </w:pPr>
            <w:r>
              <w:rPr>
                <w:rFonts w:cs="Segoe UI Light" w:ascii="Arial" w:hAnsi="Arial"/>
                <w:b/>
                <w:bCs/>
                <w:color w:val="000000"/>
                <w:sz w:val="20"/>
                <w:szCs w:val="20"/>
                <w:lang w:val="pl-PL" w:bidi="ar-SA"/>
              </w:rPr>
              <w:t>Producent: Nexus Polska Sp. z o.o.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Izba Przyjęć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Oddział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Biuro Przyjęć, Statystyka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Kolejki Oczekujących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Rejestracja Poradni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Poradnia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Rozliczenia z NFZ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Dokumentacja Medyczna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Dokumentacja Medyczna (Pielęgniarska)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Blok Operacyjny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Blok Porodowy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Ordynacja Lekarska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Zlecenia Medyczne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Pracownia Diagnostyczna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Laboratorium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Apteka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Apteczka Oddziałowa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Rehabilitacja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Kalkulacja Kosztów Procedur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Rachunek Kosztów Leczenia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Dyrekcja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Administrator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Poczta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EskulapNT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Panel Lekarski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eRejestracja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eWyniki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Eskulap - Podpis elektroniczny z archiwum dokumentów cyfrowych 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PACS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DICOM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HL7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Gruper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Interfejs NFZ AP-KOLCE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eZLA</w:t>
            </w:r>
          </w:p>
        </w:tc>
      </w:tr>
      <w:tr>
        <w:trPr/>
        <w:tc>
          <w:tcPr>
            <w:tcW w:w="974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Arial" w:hAnsi="Arial" w:cs="Segoe UI Light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cs="Segoe UI Light" w:ascii="Arial" w:hAnsi="Arial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Eskulap - RZM</w:t>
            </w:r>
          </w:p>
        </w:tc>
      </w:tr>
    </w:tbl>
    <w:p>
      <w:pPr>
        <w:pStyle w:val="Normal"/>
        <w:spacing w:lineRule="auto" w:line="276"/>
        <w:rPr>
          <w:rFonts w:ascii="Arial" w:hAnsi="Arial" w:cs="Segoe UI Light"/>
          <w:b/>
          <w:b/>
          <w:color w:val="000000" w:themeColor="text1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</w:r>
    </w:p>
    <w:p>
      <w:pPr>
        <w:pStyle w:val="Normal"/>
        <w:spacing w:lineRule="auto" w:line="276"/>
        <w:ind w:left="-15" w:firstLine="15"/>
        <w:jc w:val="both"/>
        <w:rPr>
          <w:rFonts w:ascii="Arial" w:hAnsi="Arial" w:cs="Segoe UI Light"/>
          <w:color w:val="000000" w:themeColor="text1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Segoe UI Light"/>
          <w:color w:val="000000" w:themeColor="text1"/>
          <w:sz w:val="20"/>
          <w:szCs w:val="20"/>
        </w:rPr>
      </w:pPr>
      <w:r>
        <w:rPr>
          <w:rFonts w:cs="Segoe UI Light" w:ascii="Arial" w:hAnsi="Arial"/>
          <w:color w:val="000000" w:themeColor="text1"/>
          <w:sz w:val="20"/>
          <w:szCs w:val="20"/>
        </w:rPr>
      </w:r>
    </w:p>
    <w:p>
      <w:pPr>
        <w:pStyle w:val="Normal"/>
        <w:spacing w:lineRule="auto" w:line="276" w:before="0" w:after="40"/>
        <w:jc w:val="both"/>
        <w:rPr>
          <w:rFonts w:ascii="Arial" w:hAnsi="Arial"/>
          <w:sz w:val="20"/>
          <w:szCs w:val="20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Segoe UI Light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1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Segoe UI Light" w:hAnsi="Segoe UI Light" w:eastAsia="Calibri" w:cs="Segoe UI Light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010" w:hanging="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788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08" w:hanging="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8" w:hanging="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48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68" w:hanging="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388" w:hanging="0"/>
      </w:pPr>
      <w:rPr>
        <w:rFonts w:ascii="Arial" w:hAnsi="Arial" w:cs="Aria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ordinal"/>
      <w:lvlText w:val="%1"/>
      <w:lvlJc w:val="left"/>
      <w:pPr>
        <w:tabs>
          <w:tab w:val="num" w:pos="0"/>
        </w:tabs>
        <w:ind w:left="3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2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9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01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0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9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1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93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65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7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9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303" w:hanging="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371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6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1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Calibri" w:hAnsi="Calibri" w:eastAsia="Calibri" w:cs="Calibri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010" w:hanging="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788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08" w:hanging="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8" w:hanging="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48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68" w:hanging="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388" w:hanging="0"/>
      </w:pPr>
      <w:rPr>
        <w:rFonts w:ascii="Arial" w:hAnsi="Arial" w:cs="Arial" w:hint="default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3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2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2" w:hanging="180"/>
      </w:p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2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2" w:hanging="18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>
    <w:lvl w:ilvl="0">
      <w:start w:val="1"/>
      <w:numFmt w:val="ordinal"/>
      <w:lvlText w:val="%1"/>
      <w:lvlJc w:val="left"/>
      <w:pPr>
        <w:tabs>
          <w:tab w:val="num" w:pos="0"/>
        </w:tabs>
        <w:ind w:left="3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7" w:hanging="180"/>
      </w:pPr>
    </w:lvl>
  </w:abstractNum>
  <w:abstractNum w:abstractNumId="20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1"/>
    <w:lvlOverride w:ilvl="1">
      <w:startOverride w:val="1"/>
    </w:lvlOverride>
  </w:num>
  <w:num w:numId="25">
    <w:abstractNumId w:val="2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666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locked/>
    <w:rsid w:val="007c738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4">
    <w:name w:val="Heading 4"/>
    <w:basedOn w:val="Normal"/>
    <w:next w:val="Normal"/>
    <w:link w:val="Nagwek4Znak"/>
    <w:uiPriority w:val="99"/>
    <w:qFormat/>
    <w:rsid w:val="00346661"/>
    <w:pPr>
      <w:keepNext w:val="true"/>
      <w:keepLines/>
      <w:spacing w:before="40" w:after="0"/>
      <w:outlineLvl w:val="3"/>
    </w:pPr>
    <w:rPr>
      <w:rFonts w:ascii="Cambria" w:hAnsi="Cambria" w:eastAsia="Calibri"/>
      <w:i/>
      <w:iCs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uiPriority w:val="99"/>
    <w:qFormat/>
    <w:locked/>
    <w:rsid w:val="00346661"/>
    <w:rPr>
      <w:rFonts w:ascii="Cambria" w:hAnsi="Cambria" w:cs="Times New Roman"/>
      <w:i/>
      <w:iCs/>
      <w:color w:val="365F91"/>
      <w:kern w:val="2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locked/>
    <w:rsid w:val="00346661"/>
    <w:rPr>
      <w:rFonts w:ascii="Times New Roman" w:hAnsi="Times New Roman" w:cs="Times New Roman"/>
      <w:b/>
      <w:kern w:val="2"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sid w:val="001b652d"/>
    <w:rPr>
      <w:rFonts w:ascii="Times New Roman" w:hAnsi="Times New Roman" w:cs="Times New Roman"/>
      <w:kern w:val="2"/>
      <w:sz w:val="24"/>
      <w:szCs w:val="24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sid w:val="001b652d"/>
    <w:rPr>
      <w:rFonts w:ascii="Times New Roman" w:hAnsi="Times New Roman" w:cs="Times New Roman"/>
      <w:kern w:val="2"/>
      <w:sz w:val="24"/>
      <w:szCs w:val="24"/>
      <w:lang w:eastAsia="en-US"/>
    </w:rPr>
  </w:style>
  <w:style w:type="character" w:styleId="Nagwek1Znak" w:customStyle="1">
    <w:name w:val="Nagłówek 1 Znak"/>
    <w:basedOn w:val="DefaultParagraphFont"/>
    <w:link w:val="Nagwek1"/>
    <w:qFormat/>
    <w:rsid w:val="007c738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kern w:val="2"/>
      <w:sz w:val="32"/>
      <w:szCs w:val="32"/>
      <w:lang w:eastAsia="en-US"/>
    </w:rPr>
  </w:style>
  <w:style w:type="character" w:styleId="Czeinternetowe">
    <w:name w:val="Łącze internetowe"/>
    <w:uiPriority w:val="99"/>
    <w:rsid w:val="00be0efe"/>
    <w:rPr>
      <w:color w:val="0000FF"/>
      <w:u w:val="single"/>
    </w:rPr>
  </w:style>
  <w:style w:type="character" w:styleId="Annotationreference">
    <w:name w:val="annotation reference"/>
    <w:unhideWhenUsed/>
    <w:qFormat/>
    <w:rsid w:val="00be0ef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e0efe"/>
    <w:rPr>
      <w:rFonts w:ascii="Times New Roman" w:hAnsi="Times New Roman" w:eastAsia="Times New Roman"/>
      <w:sz w:val="20"/>
      <w:szCs w:val="20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346661"/>
    <w:pPr>
      <w:jc w:val="both"/>
    </w:pPr>
    <w:rPr>
      <w:b/>
      <w:sz w:val="36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1"/>
    <w:basedOn w:val="Normal"/>
    <w:qFormat/>
    <w:rsid w:val="00346661"/>
    <w:pPr>
      <w:spacing w:before="0" w:after="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99"/>
    <w:qFormat/>
    <w:rsid w:val="00346661"/>
    <w:pPr>
      <w:widowControl/>
      <w:suppressAutoHyphens w:val="false"/>
      <w:spacing w:before="0" w:after="200"/>
      <w:jc w:val="both"/>
    </w:pPr>
    <w:rPr>
      <w:rFonts w:ascii="Verdana" w:hAnsi="Verdana" w:eastAsia="Calibri"/>
      <w:b/>
      <w:bCs/>
      <w:color w:val="4F81BD"/>
      <w:kern w:val="0"/>
      <w:sz w:val="18"/>
      <w:szCs w:val="18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6f5512"/>
    <w:pPr>
      <w:widowControl/>
      <w:tabs>
        <w:tab w:val="clear" w:pos="708"/>
        <w:tab w:val="center" w:pos="4536" w:leader="none"/>
        <w:tab w:val="right" w:pos="9072" w:leader="none"/>
      </w:tabs>
    </w:pPr>
    <w:rPr>
      <w:rFonts w:eastAsia="Calibri"/>
      <w:kern w:val="0"/>
      <w:lang w:eastAsia="zh-CN"/>
    </w:rPr>
  </w:style>
  <w:style w:type="paragraph" w:styleId="Stopka">
    <w:name w:val="Footer"/>
    <w:basedOn w:val="Normal"/>
    <w:link w:val="StopkaZnak"/>
    <w:uiPriority w:val="99"/>
    <w:rsid w:val="006f551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46d73"/>
    <w:pPr>
      <w:widowControl/>
      <w:suppressAutoHyphens w:val="false"/>
      <w:spacing w:lineRule="auto" w:line="247" w:before="0" w:after="13"/>
      <w:ind w:left="720" w:hanging="425"/>
      <w:contextualSpacing/>
      <w:jc w:val="both"/>
    </w:pPr>
    <w:rPr>
      <w:rFonts w:ascii="Cambria" w:hAnsi="Cambria" w:eastAsia="Cambria" w:cs="Cambria"/>
      <w:color w:val="000000"/>
      <w:kern w:val="0"/>
      <w:sz w:val="18"/>
      <w:szCs w:val="22"/>
      <w:lang w:eastAsia="pl-PL"/>
    </w:rPr>
  </w:style>
  <w:style w:type="paragraph" w:styleId="Tekstwstpny" w:customStyle="1">
    <w:name w:val="tekst wstępny"/>
    <w:basedOn w:val="Normal"/>
    <w:qFormat/>
    <w:rsid w:val="00be0efe"/>
    <w:pPr>
      <w:widowControl/>
      <w:spacing w:before="60" w:after="60"/>
    </w:pPr>
    <w:rPr>
      <w:rFonts w:ascii="Arial" w:hAnsi="Arial" w:cs="Arial"/>
      <w:kern w:val="0"/>
      <w:sz w:val="22"/>
      <w:szCs w:val="20"/>
      <w:lang w:eastAsia="ar-SA"/>
    </w:rPr>
  </w:style>
  <w:style w:type="paragraph" w:styleId="Annotationtext">
    <w:name w:val="annotation text"/>
    <w:basedOn w:val="Normal"/>
    <w:link w:val="TekstkomentarzaZnak"/>
    <w:unhideWhenUsed/>
    <w:qFormat/>
    <w:rsid w:val="00be0efe"/>
    <w:pPr>
      <w:widowControl/>
    </w:pPr>
    <w:rPr>
      <w:kern w:val="0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basedOn w:val="Standardowy"/>
    <w:uiPriority w:val="43"/>
    <w:rsid w:val="007d59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703de2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4akcent31">
    <w:name w:val="Tabela siatki 4 — akcent 31"/>
    <w:basedOn w:val="Standardowy"/>
    <w:uiPriority w:val="49"/>
    <w:rsid w:val="00703de2"/>
    <w:rPr>
      <w:lang w:eastAsia="en-US"/>
    </w:r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siatki4akcent3">
    <w:name w:val="Grid Table 4 Accent 3"/>
    <w:basedOn w:val="Standardowy"/>
    <w:uiPriority w:val="49"/>
    <w:rsid w:val="00703de2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1jasna">
    <w:name w:val="Grid Table 1 Light"/>
    <w:basedOn w:val="Standardowy"/>
    <w:uiPriority w:val="46"/>
    <w:rsid w:val="00cb5efd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-Siatka">
    <w:name w:val="Table Grid"/>
    <w:basedOn w:val="Standardowy"/>
    <w:rsid w:val="006c19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LibreOffice/7.0.0.3$Windows_X86_64 LibreOffice_project/8061b3e9204bef6b321a21033174034a5e2ea88e</Application>
  <Pages>7</Pages>
  <Words>2758</Words>
  <Characters>18464</Characters>
  <CharactersWithSpaces>21199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2023-01-15T22:23:00Z</dcterms:created>
  <dc:creator/>
  <dc:description/>
  <dc:language>pl-PL</dc:language>
  <cp:lastModifiedBy/>
  <cp:lastPrinted>2023-01-19T13:33:27Z</cp:lastPrinted>
  <dcterms:modified xsi:type="dcterms:W3CDTF">2023-01-19T13:33:37Z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